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291A59"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3315C47D" w:rsidR="004817B8" w:rsidRPr="00E21921" w:rsidRDefault="00291A59" w:rsidP="009B1404">
      <w:pPr>
        <w:jc w:val="center"/>
        <w:rPr>
          <w:rFonts w:ascii="黑体" w:eastAsia="黑体" w:hAnsi="黑体"/>
          <w:sz w:val="44"/>
          <w:szCs w:val="44"/>
        </w:rPr>
      </w:pPr>
      <w:r w:rsidRPr="00E21921">
        <w:rPr>
          <w:rFonts w:ascii="黑体" w:eastAsia="黑体" w:hAnsi="黑体" w:hint="eastAsia"/>
          <w:sz w:val="44"/>
          <w:szCs w:val="44"/>
        </w:rPr>
        <w:t>《</w:t>
      </w:r>
      <w:r w:rsidR="00CD46C4" w:rsidRPr="00CD46C4">
        <w:rPr>
          <w:rFonts w:ascii="黑体" w:eastAsia="黑体" w:hAnsi="黑体" w:hint="eastAsia"/>
          <w:sz w:val="44"/>
          <w:szCs w:val="44"/>
        </w:rPr>
        <w:t>饲料桑饲用技术规程 育肥牛</w:t>
      </w:r>
      <w:r w:rsidRPr="00E21921">
        <w:rPr>
          <w:rFonts w:ascii="黑体" w:eastAsia="黑体" w:hAnsi="黑体" w:hint="eastAsia"/>
          <w:sz w:val="44"/>
          <w:szCs w:val="44"/>
        </w:rPr>
        <w:t>》</w:t>
      </w:r>
    </w:p>
    <w:p w14:paraId="270B0C4D" w14:textId="77777777" w:rsidR="004817B8" w:rsidRPr="00E21921" w:rsidRDefault="00291A59"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1F0E511F" w14:textId="77777777" w:rsidR="004817B8" w:rsidRPr="00E21921" w:rsidRDefault="004817B8" w:rsidP="009B1404">
      <w:pPr>
        <w:widowControl/>
        <w:rPr>
          <w:bCs/>
          <w:sz w:val="44"/>
          <w:szCs w:val="44"/>
        </w:rPr>
      </w:pPr>
    </w:p>
    <w:p w14:paraId="034AC298" w14:textId="4051DBF2" w:rsidR="004817B8" w:rsidRPr="00E21921" w:rsidRDefault="00291A59"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CD46C4" w:rsidRPr="00CD46C4">
        <w:rPr>
          <w:rFonts w:ascii="黑体" w:eastAsia="黑体" w:hAnsi="黑体" w:hint="eastAsia"/>
          <w:bCs/>
          <w:sz w:val="28"/>
          <w:szCs w:val="28"/>
        </w:rPr>
        <w:t>饲料桑饲用技术规程 育肥牛</w:t>
      </w:r>
      <w:r w:rsidRPr="00E21921">
        <w:rPr>
          <w:rFonts w:ascii="黑体" w:eastAsia="黑体" w:hAnsi="黑体" w:hint="eastAsia"/>
          <w:bCs/>
          <w:sz w:val="28"/>
          <w:szCs w:val="28"/>
        </w:rPr>
        <w:t>》团标制定组</w:t>
      </w:r>
    </w:p>
    <w:p w14:paraId="6617FAC3" w14:textId="3B49C938" w:rsidR="004817B8" w:rsidRPr="00E21921" w:rsidRDefault="00CD46C4" w:rsidP="009B1404">
      <w:pPr>
        <w:widowControl/>
        <w:jc w:val="center"/>
        <w:rPr>
          <w:rFonts w:ascii="黑体" w:eastAsia="黑体" w:hAnsi="黑体"/>
          <w:bCs/>
          <w:sz w:val="28"/>
          <w:szCs w:val="28"/>
        </w:rPr>
      </w:pPr>
      <w:r>
        <w:rPr>
          <w:rFonts w:ascii="黑体" w:eastAsia="黑体" w:hAnsi="黑体"/>
          <w:bCs/>
          <w:sz w:val="28"/>
          <w:szCs w:val="28"/>
        </w:rPr>
        <w:t>2026</w:t>
      </w:r>
      <w:r w:rsidR="003E6AD8" w:rsidRPr="00E21921">
        <w:rPr>
          <w:rFonts w:ascii="黑体" w:eastAsia="黑体" w:hAnsi="黑体"/>
          <w:bCs/>
          <w:sz w:val="28"/>
          <w:szCs w:val="28"/>
        </w:rPr>
        <w:t>年</w:t>
      </w:r>
      <w:r>
        <w:rPr>
          <w:rFonts w:ascii="黑体" w:eastAsia="黑体" w:hAnsi="黑体"/>
          <w:bCs/>
          <w:sz w:val="28"/>
          <w:szCs w:val="28"/>
        </w:rPr>
        <w:t>5</w:t>
      </w:r>
      <w:r w:rsidR="003E6AD8" w:rsidRPr="00E21921">
        <w:rPr>
          <w:rFonts w:ascii="黑体" w:eastAsia="黑体" w:hAnsi="黑体"/>
          <w:bCs/>
          <w:sz w:val="28"/>
          <w:szCs w:val="28"/>
        </w:rPr>
        <w:t>月</w:t>
      </w:r>
    </w:p>
    <w:bookmarkEnd w:id="0"/>
    <w:p w14:paraId="40FBF7DD" w14:textId="77777777" w:rsidR="004817B8" w:rsidRPr="00E21921" w:rsidRDefault="00291A59" w:rsidP="009B1404">
      <w:pPr>
        <w:pStyle w:val="af1"/>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f1"/>
        <w:spacing w:line="360" w:lineRule="auto"/>
        <w:ind w:firstLineChars="0"/>
        <w:rPr>
          <w:b/>
          <w:color w:val="000000"/>
          <w:sz w:val="22"/>
          <w:szCs w:val="22"/>
        </w:rPr>
      </w:pPr>
    </w:p>
    <w:bookmarkStart w:id="2" w:name="_GoBack"/>
    <w:bookmarkEnd w:id="2"/>
    <w:p w14:paraId="5E03FA3D" w14:textId="4B8C6570" w:rsidR="00E87D50" w:rsidRDefault="00291A59">
      <w:pPr>
        <w:pStyle w:val="TOC1"/>
        <w:rPr>
          <w:rFonts w:asciiTheme="minorHAnsi" w:eastAsiaTheme="minorEastAsia" w:hAnsiTheme="minorHAnsi" w:cstheme="minorBidi"/>
          <w:noProof/>
          <w:szCs w:val="22"/>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229320798" w:history="1">
        <w:r w:rsidR="00E87D50" w:rsidRPr="000030A2">
          <w:rPr>
            <w:rStyle w:val="af"/>
            <w:noProof/>
          </w:rPr>
          <w:t>一、任务来源及标准制定背景</w:t>
        </w:r>
        <w:r w:rsidR="00E87D50">
          <w:rPr>
            <w:noProof/>
            <w:webHidden/>
          </w:rPr>
          <w:tab/>
        </w:r>
        <w:r w:rsidR="00E87D50">
          <w:rPr>
            <w:noProof/>
            <w:webHidden/>
          </w:rPr>
          <w:fldChar w:fldCharType="begin"/>
        </w:r>
        <w:r w:rsidR="00E87D50">
          <w:rPr>
            <w:noProof/>
            <w:webHidden/>
          </w:rPr>
          <w:instrText xml:space="preserve"> PAGEREF _Toc229320798 \h </w:instrText>
        </w:r>
        <w:r w:rsidR="00E87D50">
          <w:rPr>
            <w:noProof/>
            <w:webHidden/>
          </w:rPr>
        </w:r>
        <w:r w:rsidR="00E87D50">
          <w:rPr>
            <w:noProof/>
            <w:webHidden/>
          </w:rPr>
          <w:fldChar w:fldCharType="separate"/>
        </w:r>
        <w:r w:rsidR="00E87D50">
          <w:rPr>
            <w:noProof/>
            <w:webHidden/>
          </w:rPr>
          <w:t>3</w:t>
        </w:r>
        <w:r w:rsidR="00E87D50">
          <w:rPr>
            <w:noProof/>
            <w:webHidden/>
          </w:rPr>
          <w:fldChar w:fldCharType="end"/>
        </w:r>
      </w:hyperlink>
    </w:p>
    <w:p w14:paraId="59A3D099" w14:textId="7BFEC5AF" w:rsidR="00E87D50" w:rsidRDefault="00E87D50">
      <w:pPr>
        <w:pStyle w:val="TOC2"/>
        <w:tabs>
          <w:tab w:val="right" w:leader="dot" w:pos="8538"/>
        </w:tabs>
        <w:rPr>
          <w:rFonts w:asciiTheme="minorHAnsi" w:eastAsiaTheme="minorEastAsia" w:hAnsiTheme="minorHAnsi" w:cstheme="minorBidi"/>
          <w:noProof/>
          <w:szCs w:val="22"/>
        </w:rPr>
      </w:pPr>
      <w:hyperlink w:anchor="_Toc229320799" w:history="1">
        <w:r w:rsidRPr="000030A2">
          <w:rPr>
            <w:rStyle w:val="af"/>
            <w:noProof/>
          </w:rPr>
          <w:t>1</w:t>
        </w:r>
        <w:r w:rsidRPr="000030A2">
          <w:rPr>
            <w:rStyle w:val="af"/>
            <w:noProof/>
          </w:rPr>
          <w:t>、任务来源</w:t>
        </w:r>
        <w:r>
          <w:rPr>
            <w:noProof/>
            <w:webHidden/>
          </w:rPr>
          <w:tab/>
        </w:r>
        <w:r>
          <w:rPr>
            <w:noProof/>
            <w:webHidden/>
          </w:rPr>
          <w:fldChar w:fldCharType="begin"/>
        </w:r>
        <w:r>
          <w:rPr>
            <w:noProof/>
            <w:webHidden/>
          </w:rPr>
          <w:instrText xml:space="preserve"> PAGEREF _Toc229320799 \h </w:instrText>
        </w:r>
        <w:r>
          <w:rPr>
            <w:noProof/>
            <w:webHidden/>
          </w:rPr>
        </w:r>
        <w:r>
          <w:rPr>
            <w:noProof/>
            <w:webHidden/>
          </w:rPr>
          <w:fldChar w:fldCharType="separate"/>
        </w:r>
        <w:r>
          <w:rPr>
            <w:noProof/>
            <w:webHidden/>
          </w:rPr>
          <w:t>3</w:t>
        </w:r>
        <w:r>
          <w:rPr>
            <w:noProof/>
            <w:webHidden/>
          </w:rPr>
          <w:fldChar w:fldCharType="end"/>
        </w:r>
      </w:hyperlink>
    </w:p>
    <w:p w14:paraId="7C8660A2" w14:textId="10152C70" w:rsidR="00E87D50" w:rsidRDefault="00E87D50">
      <w:pPr>
        <w:pStyle w:val="TOC2"/>
        <w:tabs>
          <w:tab w:val="right" w:leader="dot" w:pos="8538"/>
        </w:tabs>
        <w:rPr>
          <w:rFonts w:asciiTheme="minorHAnsi" w:eastAsiaTheme="minorEastAsia" w:hAnsiTheme="minorHAnsi" w:cstheme="minorBidi"/>
          <w:noProof/>
          <w:szCs w:val="22"/>
        </w:rPr>
      </w:pPr>
      <w:hyperlink w:anchor="_Toc229320800" w:history="1">
        <w:r w:rsidRPr="000030A2">
          <w:rPr>
            <w:rStyle w:val="af"/>
            <w:noProof/>
          </w:rPr>
          <w:t>2</w:t>
        </w:r>
        <w:r w:rsidRPr="000030A2">
          <w:rPr>
            <w:rStyle w:val="af"/>
            <w:noProof/>
          </w:rPr>
          <w:t>、标准制定背景</w:t>
        </w:r>
        <w:r>
          <w:rPr>
            <w:noProof/>
            <w:webHidden/>
          </w:rPr>
          <w:tab/>
        </w:r>
        <w:r>
          <w:rPr>
            <w:noProof/>
            <w:webHidden/>
          </w:rPr>
          <w:fldChar w:fldCharType="begin"/>
        </w:r>
        <w:r>
          <w:rPr>
            <w:noProof/>
            <w:webHidden/>
          </w:rPr>
          <w:instrText xml:space="preserve"> PAGEREF _Toc229320800 \h </w:instrText>
        </w:r>
        <w:r>
          <w:rPr>
            <w:noProof/>
            <w:webHidden/>
          </w:rPr>
        </w:r>
        <w:r>
          <w:rPr>
            <w:noProof/>
            <w:webHidden/>
          </w:rPr>
          <w:fldChar w:fldCharType="separate"/>
        </w:r>
        <w:r>
          <w:rPr>
            <w:noProof/>
            <w:webHidden/>
          </w:rPr>
          <w:t>3</w:t>
        </w:r>
        <w:r>
          <w:rPr>
            <w:noProof/>
            <w:webHidden/>
          </w:rPr>
          <w:fldChar w:fldCharType="end"/>
        </w:r>
      </w:hyperlink>
    </w:p>
    <w:p w14:paraId="4A362C00" w14:textId="2572712F" w:rsidR="00E87D50" w:rsidRDefault="00E87D50">
      <w:pPr>
        <w:pStyle w:val="TOC1"/>
        <w:rPr>
          <w:rFonts w:asciiTheme="minorHAnsi" w:eastAsiaTheme="minorEastAsia" w:hAnsiTheme="minorHAnsi" w:cstheme="minorBidi"/>
          <w:noProof/>
          <w:szCs w:val="22"/>
        </w:rPr>
      </w:pPr>
      <w:hyperlink w:anchor="_Toc229320801" w:history="1">
        <w:r w:rsidRPr="000030A2">
          <w:rPr>
            <w:rStyle w:val="af"/>
            <w:noProof/>
          </w:rPr>
          <w:t>二、主要工作过程</w:t>
        </w:r>
        <w:r>
          <w:rPr>
            <w:noProof/>
            <w:webHidden/>
          </w:rPr>
          <w:tab/>
        </w:r>
        <w:r>
          <w:rPr>
            <w:noProof/>
            <w:webHidden/>
          </w:rPr>
          <w:fldChar w:fldCharType="begin"/>
        </w:r>
        <w:r>
          <w:rPr>
            <w:noProof/>
            <w:webHidden/>
          </w:rPr>
          <w:instrText xml:space="preserve"> PAGEREF _Toc229320801 \h </w:instrText>
        </w:r>
        <w:r>
          <w:rPr>
            <w:noProof/>
            <w:webHidden/>
          </w:rPr>
        </w:r>
        <w:r>
          <w:rPr>
            <w:noProof/>
            <w:webHidden/>
          </w:rPr>
          <w:fldChar w:fldCharType="separate"/>
        </w:r>
        <w:r>
          <w:rPr>
            <w:noProof/>
            <w:webHidden/>
          </w:rPr>
          <w:t>4</w:t>
        </w:r>
        <w:r>
          <w:rPr>
            <w:noProof/>
            <w:webHidden/>
          </w:rPr>
          <w:fldChar w:fldCharType="end"/>
        </w:r>
      </w:hyperlink>
    </w:p>
    <w:p w14:paraId="1B42CD4D" w14:textId="36A3BE2A" w:rsidR="00E87D50" w:rsidRDefault="00E87D50">
      <w:pPr>
        <w:pStyle w:val="TOC1"/>
        <w:rPr>
          <w:rFonts w:asciiTheme="minorHAnsi" w:eastAsiaTheme="minorEastAsia" w:hAnsiTheme="minorHAnsi" w:cstheme="minorBidi"/>
          <w:noProof/>
          <w:szCs w:val="22"/>
        </w:rPr>
      </w:pPr>
      <w:hyperlink w:anchor="_Toc229320802" w:history="1">
        <w:r w:rsidRPr="000030A2">
          <w:rPr>
            <w:rStyle w:val="af"/>
            <w:noProof/>
          </w:rPr>
          <w:t>三、标准编制原则和主要技术内容确定的依据</w:t>
        </w:r>
        <w:r>
          <w:rPr>
            <w:noProof/>
            <w:webHidden/>
          </w:rPr>
          <w:tab/>
        </w:r>
        <w:r>
          <w:rPr>
            <w:noProof/>
            <w:webHidden/>
          </w:rPr>
          <w:fldChar w:fldCharType="begin"/>
        </w:r>
        <w:r>
          <w:rPr>
            <w:noProof/>
            <w:webHidden/>
          </w:rPr>
          <w:instrText xml:space="preserve"> PAGEREF _Toc229320802 \h </w:instrText>
        </w:r>
        <w:r>
          <w:rPr>
            <w:noProof/>
            <w:webHidden/>
          </w:rPr>
        </w:r>
        <w:r>
          <w:rPr>
            <w:noProof/>
            <w:webHidden/>
          </w:rPr>
          <w:fldChar w:fldCharType="separate"/>
        </w:r>
        <w:r>
          <w:rPr>
            <w:noProof/>
            <w:webHidden/>
          </w:rPr>
          <w:t>4</w:t>
        </w:r>
        <w:r>
          <w:rPr>
            <w:noProof/>
            <w:webHidden/>
          </w:rPr>
          <w:fldChar w:fldCharType="end"/>
        </w:r>
      </w:hyperlink>
    </w:p>
    <w:p w14:paraId="6CCAB985" w14:textId="729327E6" w:rsidR="00E87D50" w:rsidRDefault="00E87D50">
      <w:pPr>
        <w:pStyle w:val="TOC2"/>
        <w:tabs>
          <w:tab w:val="right" w:leader="dot" w:pos="8538"/>
        </w:tabs>
        <w:rPr>
          <w:rFonts w:asciiTheme="minorHAnsi" w:eastAsiaTheme="minorEastAsia" w:hAnsiTheme="minorHAnsi" w:cstheme="minorBidi"/>
          <w:noProof/>
          <w:szCs w:val="22"/>
        </w:rPr>
      </w:pPr>
      <w:hyperlink w:anchor="_Toc229320803" w:history="1">
        <w:r w:rsidRPr="000030A2">
          <w:rPr>
            <w:rStyle w:val="af"/>
            <w:noProof/>
          </w:rPr>
          <w:t>1</w:t>
        </w:r>
        <w:r w:rsidRPr="000030A2">
          <w:rPr>
            <w:rStyle w:val="af"/>
            <w:noProof/>
          </w:rPr>
          <w:t>、标准编制原则</w:t>
        </w:r>
        <w:r>
          <w:rPr>
            <w:noProof/>
            <w:webHidden/>
          </w:rPr>
          <w:tab/>
        </w:r>
        <w:r>
          <w:rPr>
            <w:noProof/>
            <w:webHidden/>
          </w:rPr>
          <w:fldChar w:fldCharType="begin"/>
        </w:r>
        <w:r>
          <w:rPr>
            <w:noProof/>
            <w:webHidden/>
          </w:rPr>
          <w:instrText xml:space="preserve"> PAGEREF _Toc229320803 \h </w:instrText>
        </w:r>
        <w:r>
          <w:rPr>
            <w:noProof/>
            <w:webHidden/>
          </w:rPr>
        </w:r>
        <w:r>
          <w:rPr>
            <w:noProof/>
            <w:webHidden/>
          </w:rPr>
          <w:fldChar w:fldCharType="separate"/>
        </w:r>
        <w:r>
          <w:rPr>
            <w:noProof/>
            <w:webHidden/>
          </w:rPr>
          <w:t>4</w:t>
        </w:r>
        <w:r>
          <w:rPr>
            <w:noProof/>
            <w:webHidden/>
          </w:rPr>
          <w:fldChar w:fldCharType="end"/>
        </w:r>
      </w:hyperlink>
    </w:p>
    <w:p w14:paraId="383C0626" w14:textId="00690234" w:rsidR="00E87D50" w:rsidRDefault="00E87D50">
      <w:pPr>
        <w:pStyle w:val="TOC2"/>
        <w:tabs>
          <w:tab w:val="right" w:leader="dot" w:pos="8538"/>
        </w:tabs>
        <w:rPr>
          <w:rFonts w:asciiTheme="minorHAnsi" w:eastAsiaTheme="minorEastAsia" w:hAnsiTheme="minorHAnsi" w:cstheme="minorBidi"/>
          <w:noProof/>
          <w:szCs w:val="22"/>
        </w:rPr>
      </w:pPr>
      <w:hyperlink w:anchor="_Toc229320804" w:history="1">
        <w:r w:rsidRPr="000030A2">
          <w:rPr>
            <w:rStyle w:val="af"/>
            <w:noProof/>
          </w:rPr>
          <w:t>2</w:t>
        </w:r>
        <w:r w:rsidRPr="000030A2">
          <w:rPr>
            <w:rStyle w:val="af"/>
            <w:noProof/>
          </w:rPr>
          <w:t>、主要技术内容确定的论据</w:t>
        </w:r>
        <w:r>
          <w:rPr>
            <w:noProof/>
            <w:webHidden/>
          </w:rPr>
          <w:tab/>
        </w:r>
        <w:r>
          <w:rPr>
            <w:noProof/>
            <w:webHidden/>
          </w:rPr>
          <w:fldChar w:fldCharType="begin"/>
        </w:r>
        <w:r>
          <w:rPr>
            <w:noProof/>
            <w:webHidden/>
          </w:rPr>
          <w:instrText xml:space="preserve"> PAGEREF _Toc229320804 \h </w:instrText>
        </w:r>
        <w:r>
          <w:rPr>
            <w:noProof/>
            <w:webHidden/>
          </w:rPr>
        </w:r>
        <w:r>
          <w:rPr>
            <w:noProof/>
            <w:webHidden/>
          </w:rPr>
          <w:fldChar w:fldCharType="separate"/>
        </w:r>
        <w:r>
          <w:rPr>
            <w:noProof/>
            <w:webHidden/>
          </w:rPr>
          <w:t>5</w:t>
        </w:r>
        <w:r>
          <w:rPr>
            <w:noProof/>
            <w:webHidden/>
          </w:rPr>
          <w:fldChar w:fldCharType="end"/>
        </w:r>
      </w:hyperlink>
    </w:p>
    <w:p w14:paraId="71C4A9C2" w14:textId="5F28CE02" w:rsidR="00E87D50" w:rsidRDefault="00E87D50">
      <w:pPr>
        <w:pStyle w:val="TOC1"/>
        <w:rPr>
          <w:rFonts w:asciiTheme="minorHAnsi" w:eastAsiaTheme="minorEastAsia" w:hAnsiTheme="minorHAnsi" w:cstheme="minorBidi"/>
          <w:noProof/>
          <w:szCs w:val="22"/>
        </w:rPr>
      </w:pPr>
      <w:hyperlink w:anchor="_Toc229320805" w:history="1">
        <w:r w:rsidRPr="000030A2">
          <w:rPr>
            <w:rStyle w:val="af"/>
            <w:noProof/>
          </w:rPr>
          <w:t>四、采用的国际标准</w:t>
        </w:r>
        <w:r>
          <w:rPr>
            <w:noProof/>
            <w:webHidden/>
          </w:rPr>
          <w:tab/>
        </w:r>
        <w:r>
          <w:rPr>
            <w:noProof/>
            <w:webHidden/>
          </w:rPr>
          <w:fldChar w:fldCharType="begin"/>
        </w:r>
        <w:r>
          <w:rPr>
            <w:noProof/>
            <w:webHidden/>
          </w:rPr>
          <w:instrText xml:space="preserve"> PAGEREF _Toc229320805 \h </w:instrText>
        </w:r>
        <w:r>
          <w:rPr>
            <w:noProof/>
            <w:webHidden/>
          </w:rPr>
        </w:r>
        <w:r>
          <w:rPr>
            <w:noProof/>
            <w:webHidden/>
          </w:rPr>
          <w:fldChar w:fldCharType="separate"/>
        </w:r>
        <w:r>
          <w:rPr>
            <w:noProof/>
            <w:webHidden/>
          </w:rPr>
          <w:t>6</w:t>
        </w:r>
        <w:r>
          <w:rPr>
            <w:noProof/>
            <w:webHidden/>
          </w:rPr>
          <w:fldChar w:fldCharType="end"/>
        </w:r>
      </w:hyperlink>
    </w:p>
    <w:p w14:paraId="20B15C08" w14:textId="625BF5F9" w:rsidR="00E87D50" w:rsidRDefault="00E87D50">
      <w:pPr>
        <w:pStyle w:val="TOC1"/>
        <w:rPr>
          <w:rFonts w:asciiTheme="minorHAnsi" w:eastAsiaTheme="minorEastAsia" w:hAnsiTheme="minorHAnsi" w:cstheme="minorBidi"/>
          <w:noProof/>
          <w:szCs w:val="22"/>
        </w:rPr>
      </w:pPr>
      <w:hyperlink w:anchor="_Toc229320806" w:history="1">
        <w:r w:rsidRPr="000030A2">
          <w:rPr>
            <w:rStyle w:val="af"/>
            <w:noProof/>
          </w:rPr>
          <w:t>五、与现行法律法规和强制性标准的关系</w:t>
        </w:r>
        <w:r>
          <w:rPr>
            <w:noProof/>
            <w:webHidden/>
          </w:rPr>
          <w:tab/>
        </w:r>
        <w:r>
          <w:rPr>
            <w:noProof/>
            <w:webHidden/>
          </w:rPr>
          <w:fldChar w:fldCharType="begin"/>
        </w:r>
        <w:r>
          <w:rPr>
            <w:noProof/>
            <w:webHidden/>
          </w:rPr>
          <w:instrText xml:space="preserve"> PAGEREF _Toc229320806 \h </w:instrText>
        </w:r>
        <w:r>
          <w:rPr>
            <w:noProof/>
            <w:webHidden/>
          </w:rPr>
        </w:r>
        <w:r>
          <w:rPr>
            <w:noProof/>
            <w:webHidden/>
          </w:rPr>
          <w:fldChar w:fldCharType="separate"/>
        </w:r>
        <w:r>
          <w:rPr>
            <w:noProof/>
            <w:webHidden/>
          </w:rPr>
          <w:t>6</w:t>
        </w:r>
        <w:r>
          <w:rPr>
            <w:noProof/>
            <w:webHidden/>
          </w:rPr>
          <w:fldChar w:fldCharType="end"/>
        </w:r>
      </w:hyperlink>
    </w:p>
    <w:p w14:paraId="4F246FC1" w14:textId="1B3B13DB" w:rsidR="00E87D50" w:rsidRDefault="00E87D50">
      <w:pPr>
        <w:pStyle w:val="TOC1"/>
        <w:rPr>
          <w:rFonts w:asciiTheme="minorHAnsi" w:eastAsiaTheme="minorEastAsia" w:hAnsiTheme="minorHAnsi" w:cstheme="minorBidi"/>
          <w:noProof/>
          <w:szCs w:val="22"/>
        </w:rPr>
      </w:pPr>
      <w:hyperlink w:anchor="_Toc229320807" w:history="1">
        <w:r w:rsidRPr="000030A2">
          <w:rPr>
            <w:rStyle w:val="af"/>
            <w:noProof/>
          </w:rPr>
          <w:t>六、重大分歧意见的处理经过和依据</w:t>
        </w:r>
        <w:r>
          <w:rPr>
            <w:noProof/>
            <w:webHidden/>
          </w:rPr>
          <w:tab/>
        </w:r>
        <w:r>
          <w:rPr>
            <w:noProof/>
            <w:webHidden/>
          </w:rPr>
          <w:fldChar w:fldCharType="begin"/>
        </w:r>
        <w:r>
          <w:rPr>
            <w:noProof/>
            <w:webHidden/>
          </w:rPr>
          <w:instrText xml:space="preserve"> PAGEREF _Toc229320807 \h </w:instrText>
        </w:r>
        <w:r>
          <w:rPr>
            <w:noProof/>
            <w:webHidden/>
          </w:rPr>
        </w:r>
        <w:r>
          <w:rPr>
            <w:noProof/>
            <w:webHidden/>
          </w:rPr>
          <w:fldChar w:fldCharType="separate"/>
        </w:r>
        <w:r>
          <w:rPr>
            <w:noProof/>
            <w:webHidden/>
          </w:rPr>
          <w:t>7</w:t>
        </w:r>
        <w:r>
          <w:rPr>
            <w:noProof/>
            <w:webHidden/>
          </w:rPr>
          <w:fldChar w:fldCharType="end"/>
        </w:r>
      </w:hyperlink>
    </w:p>
    <w:p w14:paraId="43E01894" w14:textId="6B6C1ADA" w:rsidR="00E87D50" w:rsidRDefault="00E87D50">
      <w:pPr>
        <w:pStyle w:val="TOC1"/>
        <w:rPr>
          <w:rFonts w:asciiTheme="minorHAnsi" w:eastAsiaTheme="minorEastAsia" w:hAnsiTheme="minorHAnsi" w:cstheme="minorBidi"/>
          <w:noProof/>
          <w:szCs w:val="22"/>
        </w:rPr>
      </w:pPr>
      <w:hyperlink w:anchor="_Toc229320808" w:history="1">
        <w:r w:rsidRPr="000030A2">
          <w:rPr>
            <w:rStyle w:val="af"/>
            <w:noProof/>
          </w:rPr>
          <w:t>七、标准作为强制性或推荐性标准的意见</w:t>
        </w:r>
        <w:r>
          <w:rPr>
            <w:noProof/>
            <w:webHidden/>
          </w:rPr>
          <w:tab/>
        </w:r>
        <w:r>
          <w:rPr>
            <w:noProof/>
            <w:webHidden/>
          </w:rPr>
          <w:fldChar w:fldCharType="begin"/>
        </w:r>
        <w:r>
          <w:rPr>
            <w:noProof/>
            <w:webHidden/>
          </w:rPr>
          <w:instrText xml:space="preserve"> PAGEREF _Toc229320808 \h </w:instrText>
        </w:r>
        <w:r>
          <w:rPr>
            <w:noProof/>
            <w:webHidden/>
          </w:rPr>
        </w:r>
        <w:r>
          <w:rPr>
            <w:noProof/>
            <w:webHidden/>
          </w:rPr>
          <w:fldChar w:fldCharType="separate"/>
        </w:r>
        <w:r>
          <w:rPr>
            <w:noProof/>
            <w:webHidden/>
          </w:rPr>
          <w:t>7</w:t>
        </w:r>
        <w:r>
          <w:rPr>
            <w:noProof/>
            <w:webHidden/>
          </w:rPr>
          <w:fldChar w:fldCharType="end"/>
        </w:r>
      </w:hyperlink>
    </w:p>
    <w:p w14:paraId="071BBAF7" w14:textId="22A1A8C2" w:rsidR="00E87D50" w:rsidRDefault="00E87D50">
      <w:pPr>
        <w:pStyle w:val="TOC1"/>
        <w:rPr>
          <w:rFonts w:asciiTheme="minorHAnsi" w:eastAsiaTheme="minorEastAsia" w:hAnsiTheme="minorHAnsi" w:cstheme="minorBidi"/>
          <w:noProof/>
          <w:szCs w:val="22"/>
        </w:rPr>
      </w:pPr>
      <w:hyperlink w:anchor="_Toc229320809" w:history="1">
        <w:r w:rsidRPr="000030A2">
          <w:rPr>
            <w:rStyle w:val="af"/>
            <w:noProof/>
          </w:rPr>
          <w:t>八、贯彻标准的要求和措施建议</w:t>
        </w:r>
        <w:r>
          <w:rPr>
            <w:noProof/>
            <w:webHidden/>
          </w:rPr>
          <w:tab/>
        </w:r>
        <w:r>
          <w:rPr>
            <w:noProof/>
            <w:webHidden/>
          </w:rPr>
          <w:fldChar w:fldCharType="begin"/>
        </w:r>
        <w:r>
          <w:rPr>
            <w:noProof/>
            <w:webHidden/>
          </w:rPr>
          <w:instrText xml:space="preserve"> PAGEREF _Toc229320809 \h </w:instrText>
        </w:r>
        <w:r>
          <w:rPr>
            <w:noProof/>
            <w:webHidden/>
          </w:rPr>
        </w:r>
        <w:r>
          <w:rPr>
            <w:noProof/>
            <w:webHidden/>
          </w:rPr>
          <w:fldChar w:fldCharType="separate"/>
        </w:r>
        <w:r>
          <w:rPr>
            <w:noProof/>
            <w:webHidden/>
          </w:rPr>
          <w:t>7</w:t>
        </w:r>
        <w:r>
          <w:rPr>
            <w:noProof/>
            <w:webHidden/>
          </w:rPr>
          <w:fldChar w:fldCharType="end"/>
        </w:r>
      </w:hyperlink>
    </w:p>
    <w:p w14:paraId="4DE03700" w14:textId="07AAC449" w:rsidR="00E87D50" w:rsidRDefault="00E87D50">
      <w:pPr>
        <w:pStyle w:val="TOC1"/>
        <w:rPr>
          <w:rFonts w:asciiTheme="minorHAnsi" w:eastAsiaTheme="minorEastAsia" w:hAnsiTheme="minorHAnsi" w:cstheme="minorBidi"/>
          <w:noProof/>
          <w:szCs w:val="22"/>
        </w:rPr>
      </w:pPr>
      <w:hyperlink w:anchor="_Toc229320810" w:history="1">
        <w:r w:rsidRPr="000030A2">
          <w:rPr>
            <w:rStyle w:val="af"/>
            <w:noProof/>
          </w:rPr>
          <w:t>九、废止现行有关标准的建议</w:t>
        </w:r>
        <w:r>
          <w:rPr>
            <w:noProof/>
            <w:webHidden/>
          </w:rPr>
          <w:tab/>
        </w:r>
        <w:r>
          <w:rPr>
            <w:noProof/>
            <w:webHidden/>
          </w:rPr>
          <w:fldChar w:fldCharType="begin"/>
        </w:r>
        <w:r>
          <w:rPr>
            <w:noProof/>
            <w:webHidden/>
          </w:rPr>
          <w:instrText xml:space="preserve"> PAGEREF _Toc229320810 \h </w:instrText>
        </w:r>
        <w:r>
          <w:rPr>
            <w:noProof/>
            <w:webHidden/>
          </w:rPr>
        </w:r>
        <w:r>
          <w:rPr>
            <w:noProof/>
            <w:webHidden/>
          </w:rPr>
          <w:fldChar w:fldCharType="separate"/>
        </w:r>
        <w:r>
          <w:rPr>
            <w:noProof/>
            <w:webHidden/>
          </w:rPr>
          <w:t>7</w:t>
        </w:r>
        <w:r>
          <w:rPr>
            <w:noProof/>
            <w:webHidden/>
          </w:rPr>
          <w:fldChar w:fldCharType="end"/>
        </w:r>
      </w:hyperlink>
    </w:p>
    <w:p w14:paraId="2DAAC75A" w14:textId="71091B39" w:rsidR="00E87D50" w:rsidRDefault="00E87D50">
      <w:pPr>
        <w:pStyle w:val="TOC1"/>
        <w:rPr>
          <w:rFonts w:asciiTheme="minorHAnsi" w:eastAsiaTheme="minorEastAsia" w:hAnsiTheme="minorHAnsi" w:cstheme="minorBidi"/>
          <w:noProof/>
          <w:szCs w:val="22"/>
        </w:rPr>
      </w:pPr>
      <w:hyperlink w:anchor="_Toc229320811" w:history="1">
        <w:r w:rsidRPr="000030A2">
          <w:rPr>
            <w:rStyle w:val="af"/>
            <w:noProof/>
          </w:rPr>
          <w:t>十、其他应予说明的事项</w:t>
        </w:r>
        <w:r>
          <w:rPr>
            <w:noProof/>
            <w:webHidden/>
          </w:rPr>
          <w:tab/>
        </w:r>
        <w:r>
          <w:rPr>
            <w:noProof/>
            <w:webHidden/>
          </w:rPr>
          <w:fldChar w:fldCharType="begin"/>
        </w:r>
        <w:r>
          <w:rPr>
            <w:noProof/>
            <w:webHidden/>
          </w:rPr>
          <w:instrText xml:space="preserve"> PAGEREF _Toc229320811 \h </w:instrText>
        </w:r>
        <w:r>
          <w:rPr>
            <w:noProof/>
            <w:webHidden/>
          </w:rPr>
        </w:r>
        <w:r>
          <w:rPr>
            <w:noProof/>
            <w:webHidden/>
          </w:rPr>
          <w:fldChar w:fldCharType="separate"/>
        </w:r>
        <w:r>
          <w:rPr>
            <w:noProof/>
            <w:webHidden/>
          </w:rPr>
          <w:t>7</w:t>
        </w:r>
        <w:r>
          <w:rPr>
            <w:noProof/>
            <w:webHidden/>
          </w:rPr>
          <w:fldChar w:fldCharType="end"/>
        </w:r>
      </w:hyperlink>
    </w:p>
    <w:p w14:paraId="32720C13" w14:textId="0BAEA50F" w:rsidR="004817B8" w:rsidRPr="00E87D50" w:rsidRDefault="00291A59" w:rsidP="00E87D50">
      <w:pPr>
        <w:spacing w:line="360" w:lineRule="auto"/>
        <w:rPr>
          <w:rFonts w:hint="eastAsia"/>
          <w:sz w:val="24"/>
          <w:szCs w:val="24"/>
        </w:rPr>
      </w:pPr>
      <w:r w:rsidRPr="00E21921">
        <w:rPr>
          <w:b/>
          <w:bCs/>
          <w:sz w:val="24"/>
          <w:szCs w:val="24"/>
          <w:lang w:val="zh-CN"/>
        </w:rPr>
        <w:fldChar w:fldCharType="end"/>
      </w:r>
    </w:p>
    <w:p w14:paraId="3EB17BB0" w14:textId="77777777" w:rsidR="004817B8" w:rsidRPr="006520B7" w:rsidRDefault="00291A59" w:rsidP="009B1404">
      <w:pPr>
        <w:pStyle w:val="1"/>
        <w:spacing w:before="0" w:after="0"/>
        <w:rPr>
          <w:sz w:val="24"/>
          <w:szCs w:val="40"/>
        </w:rPr>
      </w:pPr>
      <w:r w:rsidRPr="00E21921">
        <w:br w:type="page"/>
      </w:r>
      <w:r w:rsidRPr="00E21921">
        <w:lastRenderedPageBreak/>
        <w:t xml:space="preserve"> </w:t>
      </w:r>
      <w:bookmarkStart w:id="3" w:name="_Toc229320798"/>
      <w:r w:rsidRPr="006520B7">
        <w:rPr>
          <w:rFonts w:hint="eastAsia"/>
          <w:sz w:val="24"/>
          <w:szCs w:val="40"/>
        </w:rPr>
        <w:t>一、任务来源及标准制定背景</w:t>
      </w:r>
      <w:bookmarkEnd w:id="3"/>
    </w:p>
    <w:p w14:paraId="39E2EE66" w14:textId="77777777" w:rsidR="004817B8" w:rsidRPr="006520B7" w:rsidRDefault="00291A59" w:rsidP="009B1404">
      <w:pPr>
        <w:pStyle w:val="2"/>
        <w:spacing w:before="0" w:after="0"/>
        <w:rPr>
          <w:sz w:val="22"/>
          <w:szCs w:val="28"/>
        </w:rPr>
      </w:pPr>
      <w:bookmarkStart w:id="4" w:name="_Toc229320799"/>
      <w:r w:rsidRPr="006520B7">
        <w:rPr>
          <w:rFonts w:hint="eastAsia"/>
          <w:sz w:val="22"/>
          <w:szCs w:val="28"/>
        </w:rPr>
        <w:t>1</w:t>
      </w:r>
      <w:r w:rsidRPr="006520B7">
        <w:rPr>
          <w:rFonts w:hint="eastAsia"/>
          <w:sz w:val="22"/>
          <w:szCs w:val="28"/>
        </w:rPr>
        <w:t>、任务来源</w:t>
      </w:r>
      <w:bookmarkEnd w:id="4"/>
    </w:p>
    <w:p w14:paraId="7A2C90B6" w14:textId="77777777" w:rsidR="00B32B46" w:rsidRPr="00B32B46" w:rsidRDefault="00B32B46" w:rsidP="00B32B46">
      <w:pPr>
        <w:widowControl/>
        <w:adjustRightInd w:val="0"/>
        <w:snapToGrid w:val="0"/>
        <w:spacing w:line="360" w:lineRule="auto"/>
        <w:ind w:firstLineChars="200" w:firstLine="440"/>
        <w:rPr>
          <w:rFonts w:ascii="宋体" w:hAnsi="宋体" w:cs="黑体" w:hint="eastAsia"/>
          <w:kern w:val="0"/>
          <w:sz w:val="22"/>
          <w:szCs w:val="20"/>
        </w:rPr>
      </w:pPr>
      <w:r w:rsidRPr="00B32B46">
        <w:rPr>
          <w:rFonts w:ascii="宋体" w:hAnsi="宋体" w:cs="黑体" w:hint="eastAsia"/>
          <w:kern w:val="0"/>
          <w:sz w:val="22"/>
          <w:szCs w:val="20"/>
        </w:rPr>
        <w:t>我国每年进口大豆1亿吨左右，蛋白饲料资源短缺是长期制约我国畜牧业可持续发展的瓶颈。木本源饲料具有蛋白含量高、生物量大、功能成分丰富等优势，开发利用饲料桑新型蛋白饲料资源，形成饲料豆粕减量替代新方案，是实现畜牧业高质量发展的重大需求。在此背景下，国家十四五科技项目“木本源新型蛋白饲料加工与高效转化技术”（2022YFD1300900）立项。项目聚焦木本源饲料植物丰产技术体系不完善、加工工艺待优化、功能物质挖掘不充分、饲用不精准等突出问题，通过科学问题解析、关键技术攻关和集成示范，建立节本降损、提质增效的木本源饲用产品加工及畜禽精准高效利用全产业链，提升我国木本源饲料产业综合效益和竞争力，践行“大食物观”，服务乡村振兴和“双碳”战略。</w:t>
      </w:r>
    </w:p>
    <w:p w14:paraId="2D2712C2" w14:textId="25350489" w:rsidR="00B32B46" w:rsidRPr="00B32B46" w:rsidRDefault="00B32B46" w:rsidP="00B32B46">
      <w:pPr>
        <w:widowControl/>
        <w:adjustRightInd w:val="0"/>
        <w:snapToGrid w:val="0"/>
        <w:spacing w:line="360" w:lineRule="auto"/>
        <w:ind w:firstLineChars="200" w:firstLine="440"/>
        <w:rPr>
          <w:rFonts w:ascii="宋体" w:hAnsi="宋体" w:cs="黑体" w:hint="eastAsia"/>
          <w:kern w:val="0"/>
          <w:sz w:val="22"/>
          <w:szCs w:val="20"/>
        </w:rPr>
      </w:pPr>
      <w:r w:rsidRPr="00B32B46">
        <w:rPr>
          <w:rFonts w:ascii="宋体" w:hAnsi="宋体" w:cs="黑体" w:hint="eastAsia"/>
          <w:kern w:val="0"/>
          <w:sz w:val="22"/>
          <w:szCs w:val="20"/>
        </w:rPr>
        <w:t>为了更好的推广应用十四五科技项目“木本源新型蛋白饲料加工与高效转化技术”（2022YFD1300900）各项科研成果，规范化使用饲料桑新型蛋白饲料资源，</w:t>
      </w:r>
      <w:r>
        <w:rPr>
          <w:rFonts w:ascii="宋体" w:hAnsi="宋体" w:cs="黑体" w:hint="eastAsia"/>
          <w:kern w:val="0"/>
          <w:sz w:val="22"/>
          <w:szCs w:val="20"/>
        </w:rPr>
        <w:t>华南农业大学联合</w:t>
      </w:r>
      <w:r w:rsidRPr="00B32B46">
        <w:rPr>
          <w:rFonts w:ascii="宋体" w:hAnsi="宋体" w:cs="黑体" w:hint="eastAsia"/>
          <w:kern w:val="0"/>
          <w:sz w:val="22"/>
          <w:szCs w:val="20"/>
        </w:rPr>
        <w:t>贵州大学和梅州市广顺海食品有限公司委托北京华夏草业产业技术创新战略联盟编制《饲料桑饲用技术规程 育肥牛》团体标准，进而实现对饲料企业、桑叶种植加工企业和农村地区群众利用桑叶饲料饲喂</w:t>
      </w:r>
      <w:r>
        <w:rPr>
          <w:rFonts w:ascii="宋体" w:hAnsi="宋体" w:cs="黑体" w:hint="eastAsia"/>
          <w:kern w:val="0"/>
          <w:sz w:val="22"/>
          <w:szCs w:val="20"/>
        </w:rPr>
        <w:t>育肥牛</w:t>
      </w:r>
      <w:r w:rsidRPr="00B32B46">
        <w:rPr>
          <w:rFonts w:ascii="宋体" w:hAnsi="宋体" w:cs="黑体" w:hint="eastAsia"/>
          <w:kern w:val="0"/>
          <w:sz w:val="22"/>
          <w:szCs w:val="20"/>
        </w:rPr>
        <w:t>提供技术指导和服务，推动非常规饲料资源桑叶产业的规范化、科学化发展。</w:t>
      </w:r>
      <w:r>
        <w:rPr>
          <w:rFonts w:ascii="宋体" w:hAnsi="宋体" w:cs="黑体" w:hint="eastAsia"/>
          <w:kern w:val="0"/>
          <w:sz w:val="22"/>
          <w:szCs w:val="20"/>
        </w:rPr>
        <w:t xml:space="preserve"> </w:t>
      </w:r>
    </w:p>
    <w:p w14:paraId="14042380" w14:textId="51357C7E" w:rsidR="00330701" w:rsidRPr="00330701" w:rsidRDefault="00291A59" w:rsidP="00330701">
      <w:pPr>
        <w:pStyle w:val="2"/>
        <w:spacing w:before="0" w:after="0"/>
        <w:rPr>
          <w:rFonts w:hint="eastAsia"/>
          <w:sz w:val="22"/>
          <w:szCs w:val="28"/>
        </w:rPr>
      </w:pPr>
      <w:bookmarkStart w:id="5" w:name="_Toc229320800"/>
      <w:r w:rsidRPr="006520B7">
        <w:rPr>
          <w:rFonts w:hint="eastAsia"/>
          <w:sz w:val="22"/>
          <w:szCs w:val="28"/>
        </w:rPr>
        <w:t>2</w:t>
      </w:r>
      <w:r w:rsidRPr="006520B7">
        <w:rPr>
          <w:rFonts w:hint="eastAsia"/>
          <w:sz w:val="22"/>
          <w:szCs w:val="28"/>
        </w:rPr>
        <w:t>、标准制定背景</w:t>
      </w:r>
      <w:bookmarkEnd w:id="5"/>
    </w:p>
    <w:p w14:paraId="34FC5AB1" w14:textId="11D5EB81" w:rsidR="00330701" w:rsidRPr="00330701" w:rsidRDefault="00330701" w:rsidP="00330701">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（1）</w:t>
      </w:r>
      <w:r w:rsidRPr="00330701">
        <w:rPr>
          <w:rFonts w:ascii="宋体" w:hAnsi="宋体" w:cs="黑体" w:hint="eastAsia"/>
          <w:kern w:val="0"/>
          <w:sz w:val="22"/>
          <w:szCs w:val="20"/>
        </w:rPr>
        <w:t>畜禽养殖蛋白饲料资源缺乏，供需矛盾突出</w:t>
      </w:r>
    </w:p>
    <w:p w14:paraId="50300374" w14:textId="56F0FF4D" w:rsidR="00330701" w:rsidRPr="00330701" w:rsidRDefault="00330701" w:rsidP="00330701">
      <w:pPr>
        <w:widowControl/>
        <w:adjustRightInd w:val="0"/>
        <w:snapToGrid w:val="0"/>
        <w:spacing w:line="360" w:lineRule="auto"/>
        <w:ind w:firstLineChars="200" w:firstLine="440"/>
        <w:rPr>
          <w:rFonts w:ascii="宋体" w:hAnsi="宋体" w:cs="黑体" w:hint="eastAsia"/>
          <w:kern w:val="0"/>
          <w:sz w:val="22"/>
          <w:szCs w:val="20"/>
        </w:rPr>
      </w:pPr>
      <w:r w:rsidRPr="00330701">
        <w:rPr>
          <w:rFonts w:ascii="宋体" w:hAnsi="宋体" w:cs="黑体" w:hint="eastAsia"/>
          <w:kern w:val="0"/>
          <w:sz w:val="22"/>
          <w:szCs w:val="20"/>
        </w:rPr>
        <w:t>我国畜牧业规模化、集约化快速发展，育肥牛等草食畜禽养殖规模持续扩大，对优质蛋白饲料的需求刚性增长。但我国蛋白饲料资源高度短缺，豆粕等核心蛋白原料进口依存度超80%，2022年进口大豆超9100万吨，其中89.4%用于饲料生产，国际供应链波动直接影响养殖成本与产业安全。同时，传统饲料资源开发趋近饱和，“人畜争粮”矛盾日益凸显，而育肥牛养殖对高蛋白、易消化饲料的需求迫切，亟需开发新型非粮蛋白饲料资源。饲料桑粗蛋白含量达18%-30%，富含多种氨基酸与功能性成分，是理想的木本蛋白饲料，可有效替代部分豆粕，缓解蛋白饲料短缺压力，保障育肥牛养殖饲料供给安全。</w:t>
      </w:r>
    </w:p>
    <w:p w14:paraId="5D015A19" w14:textId="6A8F71A2" w:rsidR="00330701" w:rsidRPr="00330701" w:rsidRDefault="00330701" w:rsidP="00330701">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（2）</w:t>
      </w:r>
      <w:r w:rsidRPr="00330701">
        <w:rPr>
          <w:rFonts w:ascii="宋体" w:hAnsi="宋体" w:cs="黑体" w:hint="eastAsia"/>
          <w:kern w:val="0"/>
          <w:sz w:val="22"/>
          <w:szCs w:val="20"/>
        </w:rPr>
        <w:t>饲料桑等木本饲料开发难点凸显，标准化滞后制约应用</w:t>
      </w:r>
    </w:p>
    <w:p w14:paraId="17EA4C92" w14:textId="77777777" w:rsidR="00330701" w:rsidRPr="00330701" w:rsidRDefault="00330701" w:rsidP="00330701">
      <w:pPr>
        <w:widowControl/>
        <w:adjustRightInd w:val="0"/>
        <w:snapToGrid w:val="0"/>
        <w:spacing w:line="360" w:lineRule="auto"/>
        <w:ind w:firstLineChars="200" w:firstLine="440"/>
        <w:rPr>
          <w:rFonts w:ascii="宋体" w:hAnsi="宋体" w:cs="黑体" w:hint="eastAsia"/>
          <w:kern w:val="0"/>
          <w:sz w:val="22"/>
          <w:szCs w:val="20"/>
        </w:rPr>
      </w:pPr>
      <w:r w:rsidRPr="00330701">
        <w:rPr>
          <w:rFonts w:ascii="宋体" w:hAnsi="宋体" w:cs="黑体" w:hint="eastAsia"/>
          <w:kern w:val="0"/>
          <w:sz w:val="22"/>
          <w:szCs w:val="20"/>
        </w:rPr>
        <w:t>饲料桑作为木本饲料，开发利用仍面临诸多技术瓶颈与行业痛点。一是抗营养因子未有效消解，桑叶含单宁等物质，大比例添加易影响育肥牛消化吸收，缺乏规范的钝化处理技术山东省畜牧兽医局；二是饲用技术不统一，现有应用中存在刈割时期混乱、加工方式随意、添加比例盲目等问题，不同产区饲喂方案差异大，导致育肥牛生长性能不稳定；三</w:t>
      </w:r>
      <w:r w:rsidRPr="00330701">
        <w:rPr>
          <w:rFonts w:ascii="宋体" w:hAnsi="宋体" w:cs="黑体" w:hint="eastAsia"/>
          <w:kern w:val="0"/>
          <w:sz w:val="22"/>
          <w:szCs w:val="20"/>
        </w:rPr>
        <w:lastRenderedPageBreak/>
        <w:t>是配套技术体系缺失，饲料桑的营养评定、日粮配比、饲喂周期等关键环节无统一标准，养殖户缺乏科学指导，资源利用率低。目前国内仅出台饲料桑生产相关标准，尚无针对育肥牛的专用饲用技术规程，标准化滞后严重制约饲料桑在育肥牛养殖中的规范化、规模化应用。</w:t>
      </w:r>
    </w:p>
    <w:p w14:paraId="12884E90" w14:textId="33936D8C" w:rsidR="00330701" w:rsidRPr="00330701" w:rsidRDefault="00330701" w:rsidP="00330701">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（3）</w:t>
      </w:r>
      <w:r w:rsidRPr="00330701">
        <w:rPr>
          <w:rFonts w:ascii="宋体" w:hAnsi="宋体" w:cs="黑体" w:hint="eastAsia"/>
          <w:kern w:val="0"/>
          <w:sz w:val="22"/>
          <w:szCs w:val="20"/>
        </w:rPr>
        <w:t>市场需求旺盛与产业发展提速，亟需标准引领规范</w:t>
      </w:r>
    </w:p>
    <w:p w14:paraId="136BBEAF" w14:textId="67BE3047" w:rsidR="00330701" w:rsidRPr="00330701" w:rsidRDefault="00330701" w:rsidP="00330701">
      <w:pPr>
        <w:widowControl/>
        <w:adjustRightInd w:val="0"/>
        <w:snapToGrid w:val="0"/>
        <w:spacing w:line="360" w:lineRule="auto"/>
        <w:ind w:firstLineChars="200" w:firstLine="440"/>
        <w:rPr>
          <w:rFonts w:ascii="宋体" w:hAnsi="宋体" w:cs="黑体"/>
          <w:kern w:val="0"/>
          <w:sz w:val="22"/>
          <w:szCs w:val="20"/>
        </w:rPr>
      </w:pPr>
      <w:r w:rsidRPr="00330701">
        <w:rPr>
          <w:rFonts w:ascii="宋体" w:hAnsi="宋体" w:cs="黑体" w:hint="eastAsia"/>
          <w:kern w:val="0"/>
          <w:sz w:val="22"/>
          <w:szCs w:val="20"/>
        </w:rPr>
        <w:t>随着居民生活水平提升，高品质牛肉市场需求持续增长，推动育肥牛产业向绿色、高效、优质方向转型。饲料桑饲喂育肥牛可改善肉质风味、降低养殖成本，契合生态养殖与高品质畜产品生产需求，市场应用前景广阔。近年来我国饲料桑种植面积快速增长，2025 年达86.3万亩，加工企业增至47家，产业规模持续扩大。但产业快速发展中，市场存在产品质量参差不齐、饲喂效果差异大、行业竞争无序等问题，亟需统一的技术标准规范生产与应用环节。制定《饲料桑饲用技术规程 育肥牛》团体标准，可明确饲料桑在育肥牛养殖中的技术要求、操作规范与质量指标，引领产业标准化升级，提升饲料桑利用效率与育肥牛养殖效益，推动木本饲料产业与肉牛养殖产业协同高质量发展。</w:t>
      </w:r>
    </w:p>
    <w:p w14:paraId="64DA9786" w14:textId="77777777" w:rsidR="004817B8" w:rsidRPr="006520B7" w:rsidRDefault="00291A59" w:rsidP="009B1404">
      <w:pPr>
        <w:pStyle w:val="1"/>
        <w:spacing w:before="0" w:after="0"/>
        <w:rPr>
          <w:sz w:val="24"/>
          <w:szCs w:val="40"/>
        </w:rPr>
      </w:pPr>
      <w:bookmarkStart w:id="6" w:name="_Toc229320801"/>
      <w:r w:rsidRPr="006520B7">
        <w:rPr>
          <w:rFonts w:hint="eastAsia"/>
          <w:sz w:val="24"/>
          <w:szCs w:val="40"/>
        </w:rPr>
        <w:t>二、主要工作过程</w:t>
      </w:r>
      <w:bookmarkEnd w:id="6"/>
    </w:p>
    <w:p w14:paraId="30F3CE8A" w14:textId="1C9EC9CC" w:rsidR="004817B8" w:rsidRPr="006520B7" w:rsidRDefault="00291A59" w:rsidP="009B1404">
      <w:pPr>
        <w:spacing w:line="360" w:lineRule="auto"/>
        <w:ind w:firstLineChars="200" w:firstLine="440"/>
        <w:rPr>
          <w:sz w:val="22"/>
          <w:szCs w:val="20"/>
        </w:rPr>
      </w:pPr>
      <w:r w:rsidRPr="006520B7">
        <w:rPr>
          <w:rFonts w:eastAsia="仿宋_GB2312"/>
          <w:sz w:val="22"/>
          <w:szCs w:val="20"/>
        </w:rPr>
        <w:t>202</w:t>
      </w:r>
      <w:r w:rsidR="006D016E">
        <w:rPr>
          <w:rFonts w:eastAsia="仿宋_GB2312"/>
          <w:sz w:val="22"/>
          <w:szCs w:val="20"/>
        </w:rPr>
        <w:t>6</w:t>
      </w:r>
      <w:r w:rsidRPr="006520B7">
        <w:rPr>
          <w:rFonts w:eastAsia="仿宋_GB2312"/>
          <w:sz w:val="22"/>
          <w:szCs w:val="20"/>
        </w:rPr>
        <w:t>.0</w:t>
      </w:r>
      <w:r w:rsidRPr="006520B7">
        <w:rPr>
          <w:rFonts w:eastAsia="仿宋_GB2312" w:hint="eastAsia"/>
          <w:sz w:val="22"/>
          <w:szCs w:val="20"/>
        </w:rPr>
        <w:t>1</w:t>
      </w:r>
      <w:r w:rsidRPr="006520B7">
        <w:rPr>
          <w:rFonts w:ascii="宋体" w:hAnsi="宋体" w:cs="宋体" w:hint="eastAsia"/>
          <w:sz w:val="22"/>
          <w:szCs w:val="20"/>
        </w:rPr>
        <w:t>月</w:t>
      </w:r>
      <w:r w:rsidRPr="006520B7">
        <w:rPr>
          <w:rFonts w:eastAsia="仿宋_GB2312"/>
          <w:sz w:val="22"/>
          <w:szCs w:val="20"/>
        </w:rPr>
        <w:t>-202</w:t>
      </w:r>
      <w:r w:rsidR="006D016E">
        <w:rPr>
          <w:rFonts w:eastAsia="仿宋_GB2312"/>
          <w:sz w:val="22"/>
          <w:szCs w:val="20"/>
        </w:rPr>
        <w:t>6</w:t>
      </w:r>
      <w:r w:rsidRPr="006520B7">
        <w:rPr>
          <w:rFonts w:eastAsia="仿宋_GB2312"/>
          <w:sz w:val="22"/>
          <w:szCs w:val="20"/>
        </w:rPr>
        <w:t>.0</w:t>
      </w:r>
      <w:r w:rsidR="006D016E">
        <w:rPr>
          <w:rFonts w:eastAsia="仿宋_GB2312"/>
          <w:sz w:val="22"/>
          <w:szCs w:val="20"/>
        </w:rPr>
        <w:t>3</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收集试验数据，整理资料</w:t>
      </w:r>
      <w:r w:rsidRPr="006520B7">
        <w:rPr>
          <w:rFonts w:ascii="宋体" w:hAnsi="宋体" w:cs="宋体" w:hint="eastAsia"/>
          <w:sz w:val="22"/>
          <w:szCs w:val="20"/>
        </w:rPr>
        <w:t>。</w:t>
      </w:r>
    </w:p>
    <w:p w14:paraId="14475C54" w14:textId="13B88A7E" w:rsidR="004817B8" w:rsidRPr="006520B7" w:rsidRDefault="00291A59" w:rsidP="009B1404">
      <w:pPr>
        <w:spacing w:line="360" w:lineRule="auto"/>
        <w:ind w:firstLineChars="200" w:firstLine="440"/>
        <w:rPr>
          <w:sz w:val="22"/>
          <w:szCs w:val="20"/>
        </w:rPr>
      </w:pPr>
      <w:r w:rsidRPr="006520B7">
        <w:rPr>
          <w:rFonts w:eastAsia="仿宋_GB2312" w:hint="eastAsia"/>
          <w:sz w:val="22"/>
          <w:szCs w:val="20"/>
        </w:rPr>
        <w:t>20</w:t>
      </w:r>
      <w:r w:rsidR="006D016E">
        <w:rPr>
          <w:rFonts w:eastAsia="仿宋_GB2312"/>
          <w:sz w:val="22"/>
          <w:szCs w:val="20"/>
        </w:rPr>
        <w:t>26</w:t>
      </w:r>
      <w:r w:rsidRPr="006520B7">
        <w:rPr>
          <w:rFonts w:eastAsia="仿宋_GB2312" w:hint="eastAsia"/>
          <w:sz w:val="22"/>
          <w:szCs w:val="20"/>
        </w:rPr>
        <w:t>.0</w:t>
      </w:r>
      <w:r w:rsidR="006D016E">
        <w:rPr>
          <w:rFonts w:eastAsia="仿宋_GB2312"/>
          <w:sz w:val="22"/>
          <w:szCs w:val="20"/>
        </w:rPr>
        <w:t>3</w:t>
      </w:r>
      <w:r w:rsidRPr="006520B7">
        <w:rPr>
          <w:rFonts w:eastAsia="仿宋_GB2312" w:hint="eastAsia"/>
          <w:sz w:val="22"/>
          <w:szCs w:val="20"/>
        </w:rPr>
        <w:t>月</w:t>
      </w:r>
      <w:r w:rsidRPr="006520B7">
        <w:rPr>
          <w:rFonts w:eastAsia="仿宋_GB2312" w:hint="eastAsia"/>
          <w:sz w:val="22"/>
          <w:szCs w:val="20"/>
        </w:rPr>
        <w:t>-20</w:t>
      </w:r>
      <w:r w:rsidR="006D016E">
        <w:rPr>
          <w:rFonts w:eastAsia="仿宋_GB2312"/>
          <w:sz w:val="22"/>
          <w:szCs w:val="20"/>
        </w:rPr>
        <w:t>26</w:t>
      </w:r>
      <w:r w:rsidRPr="006520B7">
        <w:rPr>
          <w:rFonts w:eastAsia="仿宋_GB2312" w:hint="eastAsia"/>
          <w:sz w:val="22"/>
          <w:szCs w:val="20"/>
        </w:rPr>
        <w:t>.</w:t>
      </w:r>
      <w:r w:rsidR="006D016E">
        <w:rPr>
          <w:rFonts w:eastAsia="仿宋_GB2312"/>
          <w:sz w:val="22"/>
          <w:szCs w:val="20"/>
        </w:rPr>
        <w:t>05</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形成工作组讨论稿</w:t>
      </w:r>
      <w:r w:rsidRPr="006520B7">
        <w:rPr>
          <w:rFonts w:ascii="宋体" w:hAnsi="宋体" w:cs="宋体" w:hint="eastAsia"/>
          <w:sz w:val="22"/>
          <w:szCs w:val="20"/>
        </w:rPr>
        <w:t>。</w:t>
      </w:r>
    </w:p>
    <w:p w14:paraId="2A98CE91" w14:textId="736DCC9A" w:rsidR="004817B8" w:rsidRPr="006520B7" w:rsidRDefault="00291A59" w:rsidP="009B1404">
      <w:pPr>
        <w:spacing w:line="360" w:lineRule="auto"/>
        <w:ind w:firstLineChars="200" w:firstLine="440"/>
        <w:rPr>
          <w:rFonts w:ascii="宋体" w:hAnsi="宋体" w:cs="宋体"/>
          <w:sz w:val="22"/>
          <w:szCs w:val="20"/>
        </w:rPr>
      </w:pPr>
      <w:r w:rsidRPr="006520B7">
        <w:rPr>
          <w:rFonts w:eastAsia="仿宋_GB2312"/>
          <w:sz w:val="22"/>
          <w:szCs w:val="20"/>
        </w:rPr>
        <w:t>202</w:t>
      </w:r>
      <w:r w:rsidR="006D016E">
        <w:rPr>
          <w:rFonts w:eastAsia="仿宋_GB2312"/>
          <w:sz w:val="22"/>
          <w:szCs w:val="20"/>
        </w:rPr>
        <w:t>6</w:t>
      </w:r>
      <w:r w:rsidRPr="006520B7">
        <w:rPr>
          <w:rFonts w:eastAsia="仿宋_GB2312"/>
          <w:sz w:val="22"/>
          <w:szCs w:val="20"/>
        </w:rPr>
        <w:t>.</w:t>
      </w:r>
      <w:r w:rsidRPr="006520B7">
        <w:rPr>
          <w:rFonts w:eastAsia="仿宋_GB2312" w:hint="eastAsia"/>
          <w:sz w:val="22"/>
          <w:szCs w:val="20"/>
        </w:rPr>
        <w:t>0</w:t>
      </w:r>
      <w:r w:rsidR="006D016E">
        <w:rPr>
          <w:rFonts w:eastAsia="仿宋_GB2312"/>
          <w:sz w:val="22"/>
          <w:szCs w:val="20"/>
        </w:rPr>
        <w:t>6</w:t>
      </w:r>
      <w:r w:rsidRPr="006520B7">
        <w:rPr>
          <w:rFonts w:eastAsia="仿宋_GB2312" w:hint="eastAsia"/>
          <w:sz w:val="22"/>
          <w:szCs w:val="20"/>
        </w:rPr>
        <w:t>月</w:t>
      </w:r>
      <w:r w:rsidRPr="006520B7">
        <w:rPr>
          <w:rFonts w:eastAsia="仿宋_GB2312"/>
          <w:sz w:val="22"/>
          <w:szCs w:val="20"/>
        </w:rPr>
        <w:t>-202</w:t>
      </w:r>
      <w:r w:rsidR="006D016E">
        <w:rPr>
          <w:rFonts w:eastAsia="仿宋_GB2312"/>
          <w:sz w:val="22"/>
          <w:szCs w:val="20"/>
        </w:rPr>
        <w:t>6</w:t>
      </w:r>
      <w:r w:rsidRPr="006520B7">
        <w:rPr>
          <w:rFonts w:eastAsia="仿宋_GB2312"/>
          <w:sz w:val="22"/>
          <w:szCs w:val="20"/>
        </w:rPr>
        <w:t>.</w:t>
      </w:r>
      <w:r w:rsidRPr="006520B7">
        <w:rPr>
          <w:rFonts w:eastAsia="仿宋_GB2312" w:hint="eastAsia"/>
          <w:sz w:val="22"/>
          <w:szCs w:val="20"/>
        </w:rPr>
        <w:t>0</w:t>
      </w:r>
      <w:r w:rsidR="006D016E">
        <w:rPr>
          <w:rFonts w:eastAsia="仿宋_GB2312"/>
          <w:sz w:val="22"/>
          <w:szCs w:val="20"/>
        </w:rPr>
        <w:t>9</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编写征求意见稿标准文本，编写《编制说明》</w:t>
      </w:r>
      <w:r w:rsidRPr="006520B7">
        <w:rPr>
          <w:rFonts w:ascii="宋体" w:hAnsi="宋体" w:cs="宋体" w:hint="eastAsia"/>
          <w:sz w:val="22"/>
          <w:szCs w:val="20"/>
        </w:rPr>
        <w:t>。</w:t>
      </w:r>
    </w:p>
    <w:p w14:paraId="4F353C72" w14:textId="564F3385" w:rsidR="00E71149" w:rsidRPr="006520B7" w:rsidRDefault="00291A59" w:rsidP="006D016E">
      <w:pPr>
        <w:spacing w:line="360" w:lineRule="auto"/>
        <w:ind w:firstLineChars="200" w:firstLine="440"/>
        <w:rPr>
          <w:rFonts w:hint="eastAsia"/>
          <w:bCs/>
          <w:sz w:val="22"/>
          <w:szCs w:val="20"/>
        </w:rPr>
      </w:pPr>
      <w:r w:rsidRPr="006520B7">
        <w:rPr>
          <w:rFonts w:hint="eastAsia"/>
          <w:bCs/>
          <w:sz w:val="22"/>
          <w:szCs w:val="20"/>
        </w:rPr>
        <w:t>由北京华夏草业产业技术创新战略联盟组织国内相关专家对《</w:t>
      </w:r>
      <w:r w:rsidR="00E71149" w:rsidRPr="00330701">
        <w:rPr>
          <w:rFonts w:ascii="宋体" w:hAnsi="宋体" w:cs="黑体" w:hint="eastAsia"/>
          <w:kern w:val="0"/>
          <w:sz w:val="22"/>
          <w:szCs w:val="20"/>
        </w:rPr>
        <w:t>饲料桑饲用技术规程 育肥牛</w:t>
      </w:r>
      <w:r w:rsidRPr="006520B7">
        <w:rPr>
          <w:rFonts w:hint="eastAsia"/>
          <w:bCs/>
          <w:sz w:val="22"/>
          <w:szCs w:val="20"/>
        </w:rPr>
        <w:t>》征求意见稿及编制说明进行会议评审。</w:t>
      </w:r>
    </w:p>
    <w:p w14:paraId="71F810C8" w14:textId="77777777" w:rsidR="004817B8" w:rsidRPr="006520B7" w:rsidRDefault="00291A59" w:rsidP="009B1404">
      <w:pPr>
        <w:pStyle w:val="1"/>
        <w:spacing w:before="0" w:after="0"/>
        <w:rPr>
          <w:sz w:val="24"/>
          <w:szCs w:val="40"/>
        </w:rPr>
      </w:pPr>
      <w:bookmarkStart w:id="7" w:name="_Toc229320802"/>
      <w:r w:rsidRPr="006520B7">
        <w:rPr>
          <w:rFonts w:hint="eastAsia"/>
          <w:sz w:val="24"/>
          <w:szCs w:val="40"/>
        </w:rPr>
        <w:t>三、标准编制原则和主要技术内容确定的依据</w:t>
      </w:r>
      <w:bookmarkEnd w:id="7"/>
    </w:p>
    <w:p w14:paraId="54A8B500" w14:textId="77777777" w:rsidR="004817B8" w:rsidRPr="006520B7" w:rsidRDefault="00291A59" w:rsidP="009B1404">
      <w:pPr>
        <w:pStyle w:val="2"/>
        <w:spacing w:before="0" w:after="0"/>
        <w:rPr>
          <w:sz w:val="22"/>
          <w:szCs w:val="28"/>
        </w:rPr>
      </w:pPr>
      <w:bookmarkStart w:id="8" w:name="_Toc229320803"/>
      <w:r w:rsidRPr="006520B7">
        <w:rPr>
          <w:rFonts w:hint="eastAsia"/>
          <w:sz w:val="22"/>
          <w:szCs w:val="28"/>
        </w:rPr>
        <w:t>1</w:t>
      </w:r>
      <w:r w:rsidRPr="006520B7">
        <w:rPr>
          <w:rFonts w:hint="eastAsia"/>
          <w:sz w:val="22"/>
          <w:szCs w:val="28"/>
        </w:rPr>
        <w:t>、标准编制原则</w:t>
      </w:r>
      <w:bookmarkEnd w:id="8"/>
    </w:p>
    <w:p w14:paraId="26DB23CA" w14:textId="2514004E" w:rsidR="006D016E" w:rsidRPr="006D016E" w:rsidRDefault="00291A59" w:rsidP="006D016E">
      <w:pPr>
        <w:spacing w:line="360" w:lineRule="auto"/>
        <w:ind w:firstLineChars="200" w:firstLine="440"/>
        <w:rPr>
          <w:rFonts w:hint="eastAsia"/>
          <w:bCs/>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006D016E" w:rsidRPr="006D016E">
        <w:rPr>
          <w:rFonts w:hint="eastAsia"/>
          <w:bCs/>
          <w:sz w:val="22"/>
          <w:szCs w:val="20"/>
        </w:rPr>
        <w:t>在编制过程中严格秉持严谨规范的编制思路，全面参考国内外</w:t>
      </w:r>
      <w:r w:rsidR="006D016E">
        <w:rPr>
          <w:rFonts w:hint="eastAsia"/>
          <w:bCs/>
          <w:sz w:val="22"/>
          <w:szCs w:val="20"/>
        </w:rPr>
        <w:t>饲料桑等</w:t>
      </w:r>
      <w:r w:rsidR="006D016E" w:rsidRPr="006D016E">
        <w:rPr>
          <w:rFonts w:hint="eastAsia"/>
          <w:bCs/>
          <w:sz w:val="22"/>
          <w:szCs w:val="20"/>
        </w:rPr>
        <w:t>木本饲料开发、青贮加工、肉牛精准饲喂等领域的相关国家标准、行业标准及地方团体标准，充分借鉴现有成熟、权威的标准化技术体系，确保标准内容合规、技术依据可靠。同时，编制团队系统梳理、研读了国内外饲料桑种植加工、青贮调制、营养成分分析、反刍动物饲喂应用等大量专业文献与科研成果，吸纳前沿科学研究结论与成熟技术参数，为标准各项技术指标的设定提供坚实的理论支撑。</w:t>
      </w:r>
    </w:p>
    <w:p w14:paraId="683FF2CC" w14:textId="067DB420" w:rsidR="006D016E" w:rsidRPr="006D016E" w:rsidRDefault="006D016E" w:rsidP="006D016E">
      <w:pPr>
        <w:spacing w:line="360" w:lineRule="auto"/>
        <w:ind w:firstLineChars="200" w:firstLine="440"/>
        <w:rPr>
          <w:rFonts w:hint="eastAsia"/>
          <w:bCs/>
          <w:sz w:val="22"/>
          <w:szCs w:val="20"/>
        </w:rPr>
      </w:pPr>
      <w:r w:rsidRPr="006D016E">
        <w:rPr>
          <w:rFonts w:hint="eastAsia"/>
          <w:bCs/>
          <w:sz w:val="22"/>
          <w:szCs w:val="20"/>
        </w:rPr>
        <w:t>在依托理论研究的基础上，本标准深度贴合产业实际，立足育肥牛养殖行业发展现状，</w:t>
      </w:r>
      <w:r w:rsidRPr="006D016E">
        <w:rPr>
          <w:rFonts w:hint="eastAsia"/>
          <w:bCs/>
          <w:sz w:val="22"/>
          <w:szCs w:val="20"/>
        </w:rPr>
        <w:lastRenderedPageBreak/>
        <w:t>深入多家规模化肉牛养殖企业、饲料桑加工生产基地开展实地调研，系统总结企业在饲料桑青贮加工、日粮搭配、饲喂管理、养殖管控等环节的实操经验，梳理生产过程中的常见问题、成熟工艺及关键技术要点，摒弃脱离生产的理论化内容，保证标准贴合一线生产场景。此外，本标准全程遵循科学性、可操作性、实用性的核心编制原则。所有技术指标、操作流程均经过科学论证与实践校验，兼顾技术先进性与产业适配性；同时简化复杂操作流程，适配中小养殖企业及规模化养殖场的落地需求，内容通俗易懂、简单易行，能够有效指导饲料桑青贮加工及育肥牛规范化饲喂工作，切实解决行业无统一饲用技术规范的痛点，助力饲料桑资源高效利用与育肥牛养殖产业标准化、规范化发展。</w:t>
      </w:r>
    </w:p>
    <w:p w14:paraId="2A46D5F2" w14:textId="4E39B1A5" w:rsidR="004817B8" w:rsidRPr="006520B7" w:rsidRDefault="00291A59" w:rsidP="009B1404">
      <w:pPr>
        <w:pStyle w:val="2"/>
        <w:spacing w:before="0" w:after="0"/>
        <w:rPr>
          <w:rFonts w:ascii="宋体" w:eastAsia="宋体" w:hAnsi="宋体"/>
          <w:sz w:val="16"/>
          <w:szCs w:val="16"/>
        </w:rPr>
      </w:pPr>
      <w:bookmarkStart w:id="9" w:name="_Toc229320804"/>
      <w:r w:rsidRPr="006520B7">
        <w:rPr>
          <w:rFonts w:hint="eastAsia"/>
          <w:sz w:val="22"/>
          <w:szCs w:val="28"/>
        </w:rPr>
        <w:t>2</w:t>
      </w:r>
      <w:r w:rsidRPr="006520B7">
        <w:rPr>
          <w:rFonts w:hint="eastAsia"/>
          <w:sz w:val="22"/>
          <w:szCs w:val="28"/>
        </w:rPr>
        <w:t>、主要技术内容确定的论据</w:t>
      </w:r>
      <w:bookmarkEnd w:id="9"/>
    </w:p>
    <w:p w14:paraId="7A8A7E00" w14:textId="77777777" w:rsidR="004817B8" w:rsidRPr="006520B7" w:rsidRDefault="00291A59"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203EF6D1" w14:textId="77777777" w:rsidR="007811DE" w:rsidRPr="007811DE" w:rsidRDefault="007811DE" w:rsidP="007811DE">
      <w:pPr>
        <w:spacing w:line="360" w:lineRule="auto"/>
        <w:ind w:firstLineChars="200" w:firstLine="440"/>
        <w:rPr>
          <w:rFonts w:hint="eastAsia"/>
          <w:sz w:val="22"/>
          <w:szCs w:val="20"/>
        </w:rPr>
      </w:pPr>
      <w:r w:rsidRPr="007811DE">
        <w:rPr>
          <w:rFonts w:hint="eastAsia"/>
          <w:sz w:val="22"/>
          <w:szCs w:val="20"/>
        </w:rPr>
        <w:t>本《饲料桑饲用技术规程</w:t>
      </w:r>
      <w:r w:rsidRPr="007811DE">
        <w:rPr>
          <w:rFonts w:hint="eastAsia"/>
          <w:sz w:val="22"/>
          <w:szCs w:val="20"/>
        </w:rPr>
        <w:t xml:space="preserve"> </w:t>
      </w:r>
      <w:r w:rsidRPr="007811DE">
        <w:rPr>
          <w:rFonts w:hint="eastAsia"/>
          <w:sz w:val="22"/>
          <w:szCs w:val="20"/>
        </w:rPr>
        <w:t>育肥牛》团体标准，依托课题组长期开展的饲料桑资源化加工利用、青贮工艺优化、育肥牛饲喂试验等系列研究成果编制而成，核心基于饲料桑规范化加工制作、营养特性检测、不同饲喂模式下育肥牛养殖应用的大量试验数据、生产台账及调研资料，通过系统梳理、对比分析、汇总验证，结合行业现有成熟应用经验整合制定，具备扎实的试验基础与生产依据，有效保障标准内容的真实性与指导性。</w:t>
      </w:r>
    </w:p>
    <w:p w14:paraId="2A8F607B" w14:textId="77777777" w:rsidR="007811DE" w:rsidRPr="007811DE" w:rsidRDefault="007811DE" w:rsidP="007811DE">
      <w:pPr>
        <w:spacing w:line="360" w:lineRule="auto"/>
        <w:ind w:firstLineChars="200" w:firstLine="440"/>
        <w:rPr>
          <w:rFonts w:hint="eastAsia"/>
          <w:sz w:val="22"/>
          <w:szCs w:val="20"/>
        </w:rPr>
      </w:pPr>
      <w:r w:rsidRPr="007811DE">
        <w:rPr>
          <w:rFonts w:hint="eastAsia"/>
          <w:sz w:val="22"/>
          <w:szCs w:val="20"/>
        </w:rPr>
        <w:t>本标准聚焦青贮饲料桑在育肥牛养殖中的全流程应用规范，明确界定了各项核心技术要求，主要涵盖青贮饲料桑的原料采集时期、采集标准、原料预处理方式，同时细化了青贮加工调制的工艺参数、储存养护要求、品质判定标准，规范了青贮饲料桑在育肥牛不同生长阶段的饲喂配比、使用方法、饲喂禁忌及配套饲养管理等关键技术内容，全方位补齐了行业饲用操作无统一规范的短板，为饲料桑科学、高效饲喂育肥牛提供标准化技术支撑。</w:t>
      </w:r>
    </w:p>
    <w:p w14:paraId="12BAE632" w14:textId="71F50D2A" w:rsidR="004817B8" w:rsidRPr="006520B7" w:rsidRDefault="007811DE" w:rsidP="007811DE">
      <w:pPr>
        <w:spacing w:line="360" w:lineRule="auto"/>
        <w:ind w:firstLineChars="200" w:firstLine="440"/>
        <w:rPr>
          <w:rFonts w:hint="eastAsia"/>
          <w:sz w:val="22"/>
          <w:szCs w:val="20"/>
        </w:rPr>
      </w:pPr>
      <w:r w:rsidRPr="007811DE">
        <w:rPr>
          <w:rFonts w:hint="eastAsia"/>
          <w:sz w:val="22"/>
          <w:szCs w:val="20"/>
        </w:rPr>
        <w:t>在适用范围方面，本标准针对性适配肉牛养殖产业场景，专门适用于各类规模化、集约化育肥牛养殖牧场、中小型育肥牛养殖场及个体养殖散户开展青贮饲料桑饲喂养殖工作。同时，可作为饲料桑加工企业、畜牧技术服务机构生产、推广、指导青贮饲料桑育肥牛应用的技术依据，覆盖青贮饲料桑生产加工、配套饲喂的全应用场景，针对性强，能够精准规范育肥牛养殖中青贮饲料桑的标准化应用。</w:t>
      </w:r>
    </w:p>
    <w:p w14:paraId="52005B57" w14:textId="77777777" w:rsidR="004817B8" w:rsidRPr="006520B7" w:rsidRDefault="00291A59"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7FE986D0" w14:textId="7606E112" w:rsidR="00D26876" w:rsidRPr="008F055B" w:rsidRDefault="008F055B" w:rsidP="008F055B">
      <w:pPr>
        <w:spacing w:line="360" w:lineRule="auto"/>
        <w:ind w:firstLineChars="200" w:firstLine="440"/>
        <w:rPr>
          <w:rFonts w:hint="eastAsia"/>
          <w:sz w:val="22"/>
          <w:szCs w:val="20"/>
        </w:rPr>
      </w:pPr>
      <w:r w:rsidRPr="008F055B">
        <w:rPr>
          <w:rFonts w:hint="eastAsia"/>
          <w:sz w:val="22"/>
          <w:szCs w:val="20"/>
        </w:rPr>
        <w:t>本标准制定时，参照了</w:t>
      </w:r>
      <w:r w:rsidRPr="008F055B">
        <w:rPr>
          <w:rFonts w:hint="eastAsia"/>
          <w:sz w:val="22"/>
          <w:szCs w:val="20"/>
        </w:rPr>
        <w:t>GB/T 13078</w:t>
      </w:r>
      <w:r w:rsidRPr="008F055B">
        <w:rPr>
          <w:rFonts w:hint="eastAsia"/>
          <w:sz w:val="22"/>
          <w:szCs w:val="20"/>
        </w:rPr>
        <w:t>饲料卫生标准，中华人民共和国农业农村部公告饲料原料和饲料添加剂品种目录，</w:t>
      </w:r>
      <w:r w:rsidRPr="008F055B">
        <w:rPr>
          <w:rFonts w:hint="eastAsia"/>
          <w:sz w:val="22"/>
          <w:szCs w:val="20"/>
        </w:rPr>
        <w:t>GB 2763.1</w:t>
      </w:r>
      <w:r w:rsidRPr="008F055B">
        <w:rPr>
          <w:rFonts w:hint="eastAsia"/>
          <w:sz w:val="22"/>
          <w:szCs w:val="20"/>
        </w:rPr>
        <w:t>食品安全国家标准</w:t>
      </w:r>
      <w:r w:rsidRPr="008F055B">
        <w:rPr>
          <w:rFonts w:hint="eastAsia"/>
          <w:sz w:val="22"/>
          <w:szCs w:val="20"/>
        </w:rPr>
        <w:t xml:space="preserve"> </w:t>
      </w:r>
      <w:r w:rsidRPr="008F055B">
        <w:rPr>
          <w:rFonts w:hint="eastAsia"/>
          <w:sz w:val="22"/>
          <w:szCs w:val="20"/>
        </w:rPr>
        <w:t>食品中农药最大残留限量</w:t>
      </w:r>
      <w:r w:rsidRPr="008F055B">
        <w:rPr>
          <w:rFonts w:hint="eastAsia"/>
          <w:sz w:val="22"/>
          <w:szCs w:val="20"/>
        </w:rPr>
        <w:t>，</w:t>
      </w:r>
      <w:r w:rsidRPr="008F055B">
        <w:rPr>
          <w:rFonts w:hint="eastAsia"/>
          <w:sz w:val="22"/>
          <w:szCs w:val="20"/>
        </w:rPr>
        <w:lastRenderedPageBreak/>
        <w:t>HNNY 303</w:t>
      </w:r>
      <w:r w:rsidRPr="008F055B">
        <w:rPr>
          <w:rFonts w:hint="eastAsia"/>
          <w:sz w:val="22"/>
          <w:szCs w:val="20"/>
        </w:rPr>
        <w:t>饲料桑栽培技术规程</w:t>
      </w:r>
      <w:r w:rsidRPr="008F055B">
        <w:rPr>
          <w:rFonts w:hint="eastAsia"/>
          <w:sz w:val="22"/>
          <w:szCs w:val="20"/>
        </w:rPr>
        <w:t>，</w:t>
      </w:r>
      <w:r w:rsidRPr="008F055B">
        <w:rPr>
          <w:rFonts w:hint="eastAsia"/>
          <w:sz w:val="22"/>
          <w:szCs w:val="20"/>
        </w:rPr>
        <w:t>GB/T 47364</w:t>
      </w:r>
      <w:r w:rsidRPr="008F055B">
        <w:rPr>
          <w:rFonts w:hint="eastAsia"/>
          <w:sz w:val="22"/>
          <w:szCs w:val="20"/>
        </w:rPr>
        <w:t>—</w:t>
      </w:r>
      <w:r w:rsidRPr="008F055B">
        <w:rPr>
          <w:rFonts w:hint="eastAsia"/>
          <w:sz w:val="22"/>
          <w:szCs w:val="20"/>
        </w:rPr>
        <w:t>2026</w:t>
      </w:r>
      <w:r w:rsidRPr="008F055B">
        <w:rPr>
          <w:rFonts w:hint="eastAsia"/>
          <w:sz w:val="22"/>
          <w:szCs w:val="20"/>
        </w:rPr>
        <w:t>肉牛营养需要量</w:t>
      </w:r>
      <w:r w:rsidRPr="008F055B">
        <w:rPr>
          <w:rFonts w:hint="eastAsia"/>
          <w:sz w:val="22"/>
          <w:szCs w:val="20"/>
        </w:rPr>
        <w:t>。</w:t>
      </w:r>
    </w:p>
    <w:p w14:paraId="58D86C9D" w14:textId="2C42209A" w:rsidR="004817B8" w:rsidRPr="006520B7" w:rsidRDefault="00291A59" w:rsidP="009B1404">
      <w:pPr>
        <w:spacing w:line="360" w:lineRule="auto"/>
        <w:ind w:firstLineChars="200" w:firstLine="442"/>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01CBB78E" w14:textId="0FD86B86" w:rsidR="004817B8" w:rsidRPr="006520B7" w:rsidRDefault="00291A59" w:rsidP="009B1404">
      <w:pPr>
        <w:spacing w:line="360" w:lineRule="auto"/>
        <w:ind w:firstLineChars="200" w:firstLine="440"/>
        <w:rPr>
          <w:sz w:val="22"/>
          <w:szCs w:val="20"/>
        </w:rPr>
      </w:pPr>
      <w:r w:rsidRPr="006520B7">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w:t>
      </w:r>
      <w:r w:rsidR="00314447" w:rsidRPr="00B3761C">
        <w:rPr>
          <w:rFonts w:hint="eastAsia"/>
        </w:rPr>
        <w:t>饲料桑原料</w:t>
      </w:r>
      <w:r w:rsidRPr="006520B7">
        <w:rPr>
          <w:rFonts w:hint="eastAsia"/>
          <w:sz w:val="22"/>
          <w:szCs w:val="20"/>
        </w:rPr>
        <w:t>、</w:t>
      </w:r>
      <w:r w:rsidR="00314447">
        <w:rPr>
          <w:rFonts w:hint="eastAsia"/>
          <w:sz w:val="22"/>
          <w:szCs w:val="20"/>
        </w:rPr>
        <w:t>桑枝叶青贮、育肥牛</w:t>
      </w:r>
      <w:r w:rsidRPr="006520B7">
        <w:rPr>
          <w:rFonts w:hint="eastAsia"/>
          <w:sz w:val="22"/>
          <w:szCs w:val="20"/>
        </w:rPr>
        <w:t>”，并给出相应定义。</w:t>
      </w:r>
    </w:p>
    <w:p w14:paraId="0C934870" w14:textId="69F4CFCC" w:rsidR="00E76430" w:rsidRPr="00E15767" w:rsidRDefault="00291A59" w:rsidP="00E15767">
      <w:pPr>
        <w:pStyle w:val="af1"/>
        <w:spacing w:line="360" w:lineRule="auto"/>
        <w:ind w:left="480" w:firstLineChars="0" w:firstLine="0"/>
        <w:rPr>
          <w:rFonts w:hint="eastAsia"/>
          <w:b/>
          <w:bCs/>
          <w:sz w:val="22"/>
          <w:szCs w:val="20"/>
        </w:rPr>
      </w:pPr>
      <w:r w:rsidRPr="006520B7">
        <w:rPr>
          <w:rFonts w:ascii="宋体" w:hAnsi="宋体" w:cs="黑体" w:hint="eastAsia"/>
          <w:b/>
          <w:bCs/>
          <w:kern w:val="0"/>
          <w:sz w:val="22"/>
          <w:szCs w:val="20"/>
        </w:rPr>
        <w:t>（</w:t>
      </w:r>
      <w:r w:rsidRPr="006520B7">
        <w:rPr>
          <w:rFonts w:ascii="宋体" w:hAnsi="宋体" w:cs="黑体" w:hint="eastAsia"/>
          <w:b/>
          <w:bCs/>
          <w:kern w:val="0"/>
          <w:sz w:val="22"/>
          <w:szCs w:val="20"/>
        </w:rPr>
        <w:t>4</w:t>
      </w:r>
      <w:r w:rsidRPr="006520B7">
        <w:rPr>
          <w:rFonts w:ascii="宋体" w:hAnsi="宋体" w:cs="黑体" w:hint="eastAsia"/>
          <w:b/>
          <w:bCs/>
          <w:kern w:val="0"/>
          <w:sz w:val="22"/>
          <w:szCs w:val="20"/>
        </w:rPr>
        <w:t>）主要</w:t>
      </w:r>
      <w:r w:rsidRPr="006520B7">
        <w:rPr>
          <w:rFonts w:hint="eastAsia"/>
          <w:b/>
          <w:bCs/>
          <w:sz w:val="22"/>
          <w:szCs w:val="20"/>
        </w:rPr>
        <w:t>技术指标确定的依据</w:t>
      </w:r>
    </w:p>
    <w:p w14:paraId="19C9EB99" w14:textId="77777777" w:rsidR="00E15767" w:rsidRPr="00E15767" w:rsidRDefault="00E15767" w:rsidP="00E15767">
      <w:pPr>
        <w:spacing w:line="360" w:lineRule="auto"/>
        <w:ind w:firstLineChars="200" w:firstLine="440"/>
        <w:rPr>
          <w:rFonts w:hint="eastAsia"/>
          <w:sz w:val="22"/>
          <w:szCs w:val="22"/>
        </w:rPr>
      </w:pPr>
      <w:r w:rsidRPr="00E15767">
        <w:rPr>
          <w:rFonts w:hint="eastAsia"/>
          <w:sz w:val="22"/>
          <w:szCs w:val="22"/>
        </w:rPr>
        <w:t>本标准编写组长期深耕木本源饲料资源开发利用领域，持续专注饲料桑、辣木等优质木本蛋白饲料的加工贮藏工艺、畜禽饲用应用、资源化高效转化等核心技术的系统研究与产业化示范推广工作，积累了丰富的理论研究基础与一线实践经验。本研究依托国家重点研发项目《木本源新型蛋白饲料加工与高效转化技术》的专项资助与技术支撑，围绕饲料桑产业化应用痛点，重点开展饲料桑规范化加工工艺优化、饲料化价值挖掘、豆粕减量替代、育肥牛精准高效饲喂等一系列关键核心技术攻关试验。</w:t>
      </w:r>
    </w:p>
    <w:p w14:paraId="726017E2" w14:textId="77777777" w:rsidR="00E15767" w:rsidRPr="00E15767" w:rsidRDefault="00E15767" w:rsidP="00E15767">
      <w:pPr>
        <w:spacing w:line="360" w:lineRule="auto"/>
        <w:ind w:firstLineChars="200" w:firstLine="440"/>
        <w:rPr>
          <w:rFonts w:hint="eastAsia"/>
          <w:sz w:val="22"/>
          <w:szCs w:val="22"/>
        </w:rPr>
      </w:pPr>
      <w:r w:rsidRPr="00E15767">
        <w:rPr>
          <w:rFonts w:hint="eastAsia"/>
          <w:sz w:val="22"/>
          <w:szCs w:val="22"/>
        </w:rPr>
        <w:t>在项目实施过程中，编写组构建了完善的产学研研究体系，取得了丰硕的科研成果。项目期间累计培养畜牧养殖与饲料科学领域硕士研究生</w:t>
      </w:r>
      <w:r w:rsidRPr="00E15767">
        <w:rPr>
          <w:rFonts w:hint="eastAsia"/>
          <w:sz w:val="22"/>
          <w:szCs w:val="22"/>
        </w:rPr>
        <w:t>5</w:t>
      </w:r>
      <w:r w:rsidRPr="00E15767">
        <w:rPr>
          <w:rFonts w:hint="eastAsia"/>
          <w:sz w:val="22"/>
          <w:szCs w:val="22"/>
        </w:rPr>
        <w:t>名，夯实了木本饲料研究人才基础；成功申请饲料桑加工与饲用相关发明专利</w:t>
      </w:r>
      <w:r w:rsidRPr="00E15767">
        <w:rPr>
          <w:rFonts w:hint="eastAsia"/>
          <w:sz w:val="22"/>
          <w:szCs w:val="22"/>
        </w:rPr>
        <w:t>2</w:t>
      </w:r>
      <w:r w:rsidRPr="00E15767">
        <w:rPr>
          <w:rFonts w:hint="eastAsia"/>
          <w:sz w:val="22"/>
          <w:szCs w:val="22"/>
        </w:rPr>
        <w:t>项，发表饲料桑畜禽高效应用领域学术论文</w:t>
      </w:r>
      <w:r w:rsidRPr="00E15767">
        <w:rPr>
          <w:rFonts w:hint="eastAsia"/>
          <w:sz w:val="22"/>
          <w:szCs w:val="22"/>
        </w:rPr>
        <w:t>5</w:t>
      </w:r>
      <w:r w:rsidRPr="00E15767">
        <w:rPr>
          <w:rFonts w:hint="eastAsia"/>
          <w:sz w:val="22"/>
          <w:szCs w:val="22"/>
        </w:rPr>
        <w:t>篇，进一步完善了饲料桑饲用的理论体系。同时，团队深度联动养殖企业开展产业化实践，联合规模化养殖企业生产加工优质饲料桑青贮产品</w:t>
      </w:r>
      <w:r w:rsidRPr="00E15767">
        <w:rPr>
          <w:rFonts w:hint="eastAsia"/>
          <w:sz w:val="22"/>
          <w:szCs w:val="22"/>
        </w:rPr>
        <w:t>500</w:t>
      </w:r>
      <w:r w:rsidRPr="00E15767">
        <w:rPr>
          <w:rFonts w:hint="eastAsia"/>
          <w:sz w:val="22"/>
          <w:szCs w:val="22"/>
        </w:rPr>
        <w:t>余吨，完成</w:t>
      </w:r>
      <w:r w:rsidRPr="00E15767">
        <w:rPr>
          <w:rFonts w:hint="eastAsia"/>
          <w:sz w:val="22"/>
          <w:szCs w:val="22"/>
        </w:rPr>
        <w:t>2000</w:t>
      </w:r>
      <w:r w:rsidRPr="00E15767">
        <w:rPr>
          <w:rFonts w:hint="eastAsia"/>
          <w:sz w:val="22"/>
          <w:szCs w:val="22"/>
        </w:rPr>
        <w:t>头规模育肥牛饲喂试验示范。</w:t>
      </w:r>
    </w:p>
    <w:p w14:paraId="7CCABB72" w14:textId="54E834E2" w:rsidR="00E76430" w:rsidRPr="00E15767" w:rsidRDefault="00E15767" w:rsidP="00E15767">
      <w:pPr>
        <w:spacing w:line="360" w:lineRule="auto"/>
        <w:ind w:firstLineChars="200" w:firstLine="440"/>
        <w:rPr>
          <w:rFonts w:hint="eastAsia"/>
          <w:sz w:val="22"/>
          <w:szCs w:val="22"/>
        </w:rPr>
      </w:pPr>
      <w:r w:rsidRPr="00E15767">
        <w:rPr>
          <w:rFonts w:hint="eastAsia"/>
          <w:sz w:val="22"/>
          <w:szCs w:val="22"/>
        </w:rPr>
        <w:t>通过全程跟踪养殖生产过程，系统收集、整理并分析饲喂试验、产品品质、养殖效益等第一手实测数据与生产资料，不断优化饲料桑青贮加工工艺、饲喂配比及配套养殖技术，迭代完善形成成熟、适配生产实际的青贮饲料桑育肥牛饲用配套技术体系，有效破解了饲料桑饲喂不规范、利用率低等产业难题，为本规程的编制、完善与落地实施奠定了坚实的技术基础和实践支撑。</w:t>
      </w:r>
    </w:p>
    <w:p w14:paraId="79BBEAAF" w14:textId="77777777" w:rsidR="004817B8" w:rsidRPr="006520B7" w:rsidRDefault="00291A59" w:rsidP="009B1404">
      <w:pPr>
        <w:pStyle w:val="1"/>
        <w:spacing w:before="0" w:after="0"/>
        <w:rPr>
          <w:sz w:val="24"/>
          <w:szCs w:val="40"/>
        </w:rPr>
      </w:pPr>
      <w:bookmarkStart w:id="10" w:name="_Toc229320805"/>
      <w:r w:rsidRPr="006520B7">
        <w:rPr>
          <w:rFonts w:hint="eastAsia"/>
          <w:sz w:val="24"/>
          <w:szCs w:val="40"/>
        </w:rPr>
        <w:t>四</w:t>
      </w:r>
      <w:r w:rsidRPr="006520B7">
        <w:rPr>
          <w:sz w:val="24"/>
          <w:szCs w:val="40"/>
        </w:rPr>
        <w:t>、</w:t>
      </w:r>
      <w:r w:rsidRPr="006520B7">
        <w:rPr>
          <w:rFonts w:hint="eastAsia"/>
          <w:sz w:val="24"/>
          <w:szCs w:val="40"/>
        </w:rPr>
        <w:t>采用的国际标准</w:t>
      </w:r>
      <w:bookmarkEnd w:id="10"/>
    </w:p>
    <w:p w14:paraId="3927399B" w14:textId="77777777" w:rsidR="004817B8" w:rsidRPr="006520B7" w:rsidRDefault="00291A59"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291A59" w:rsidP="009B1404">
      <w:pPr>
        <w:pStyle w:val="1"/>
        <w:spacing w:before="0" w:after="0"/>
        <w:rPr>
          <w:sz w:val="24"/>
          <w:szCs w:val="40"/>
        </w:rPr>
      </w:pPr>
      <w:bookmarkStart w:id="11" w:name="_Toc229320806"/>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1"/>
    </w:p>
    <w:p w14:paraId="2B492809" w14:textId="77777777" w:rsidR="004817B8" w:rsidRPr="006520B7" w:rsidRDefault="00291A59"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291A59" w:rsidP="009B1404">
      <w:pPr>
        <w:pStyle w:val="1"/>
        <w:spacing w:before="0" w:after="0"/>
        <w:rPr>
          <w:sz w:val="24"/>
          <w:szCs w:val="40"/>
        </w:rPr>
      </w:pPr>
      <w:bookmarkStart w:id="12" w:name="_Toc229320807"/>
      <w:r w:rsidRPr="006520B7">
        <w:rPr>
          <w:rFonts w:hint="eastAsia"/>
          <w:sz w:val="24"/>
          <w:szCs w:val="40"/>
        </w:rPr>
        <w:lastRenderedPageBreak/>
        <w:t>六</w:t>
      </w:r>
      <w:r w:rsidRPr="006520B7">
        <w:rPr>
          <w:sz w:val="24"/>
          <w:szCs w:val="40"/>
        </w:rPr>
        <w:t>、</w:t>
      </w:r>
      <w:r w:rsidRPr="006520B7">
        <w:rPr>
          <w:rFonts w:hint="eastAsia"/>
          <w:sz w:val="24"/>
          <w:szCs w:val="40"/>
        </w:rPr>
        <w:t>重大分歧意见的处理经过和依据</w:t>
      </w:r>
      <w:bookmarkEnd w:id="12"/>
    </w:p>
    <w:p w14:paraId="5D2967DE" w14:textId="77777777" w:rsidR="004817B8" w:rsidRPr="006520B7" w:rsidRDefault="00291A59" w:rsidP="009B1404">
      <w:pPr>
        <w:spacing w:line="360" w:lineRule="auto"/>
        <w:ind w:firstLine="482"/>
        <w:rPr>
          <w:color w:val="000000"/>
          <w:sz w:val="22"/>
          <w:szCs w:val="20"/>
        </w:rPr>
      </w:pPr>
      <w:r w:rsidRPr="006520B7">
        <w:rPr>
          <w:color w:val="000000"/>
          <w:sz w:val="22"/>
          <w:szCs w:val="20"/>
        </w:rPr>
        <w:t>无。</w:t>
      </w:r>
    </w:p>
    <w:p w14:paraId="18828AB0" w14:textId="6B419472" w:rsidR="004817B8" w:rsidRPr="006520B7" w:rsidRDefault="00291A59" w:rsidP="009B1404">
      <w:pPr>
        <w:pStyle w:val="1"/>
        <w:spacing w:before="0" w:after="0"/>
        <w:rPr>
          <w:sz w:val="24"/>
          <w:szCs w:val="40"/>
        </w:rPr>
      </w:pPr>
      <w:bookmarkStart w:id="13" w:name="_Toc229320808"/>
      <w:r w:rsidRPr="006520B7">
        <w:rPr>
          <w:sz w:val="24"/>
          <w:szCs w:val="40"/>
        </w:rPr>
        <w:t>七、标准作为强制性或推荐性标准的意见</w:t>
      </w:r>
      <w:bookmarkEnd w:id="13"/>
    </w:p>
    <w:p w14:paraId="630F5003" w14:textId="072FDFCF" w:rsidR="004817B8" w:rsidRPr="006520B7" w:rsidRDefault="00291A59" w:rsidP="009B1404">
      <w:pPr>
        <w:spacing w:line="360" w:lineRule="auto"/>
        <w:ind w:firstLine="482"/>
        <w:rPr>
          <w:color w:val="000000"/>
          <w:sz w:val="22"/>
          <w:szCs w:val="20"/>
        </w:rPr>
      </w:pPr>
      <w:r w:rsidRPr="006520B7">
        <w:rPr>
          <w:color w:val="000000"/>
          <w:sz w:val="22"/>
          <w:szCs w:val="20"/>
        </w:rPr>
        <w:t>建议将本标准作为推荐性标准发布实施，并加强标准的宣贯。</w:t>
      </w:r>
    </w:p>
    <w:p w14:paraId="5D7D6744" w14:textId="4DE8CB28" w:rsidR="004817B8" w:rsidRPr="006520B7" w:rsidRDefault="00291A59" w:rsidP="009B1404">
      <w:pPr>
        <w:pStyle w:val="1"/>
        <w:spacing w:before="0" w:after="0"/>
        <w:rPr>
          <w:sz w:val="24"/>
          <w:szCs w:val="40"/>
        </w:rPr>
      </w:pPr>
      <w:bookmarkStart w:id="14" w:name="_Toc229320809"/>
      <w:r w:rsidRPr="006520B7">
        <w:rPr>
          <w:sz w:val="24"/>
          <w:szCs w:val="40"/>
        </w:rPr>
        <w:t>八、贯彻标准的要求和措施建议</w:t>
      </w:r>
      <w:bookmarkEnd w:id="14"/>
    </w:p>
    <w:p w14:paraId="147DB829" w14:textId="77777777" w:rsidR="009805DD" w:rsidRPr="009805DD" w:rsidRDefault="009805DD" w:rsidP="009805DD">
      <w:pPr>
        <w:spacing w:line="360" w:lineRule="auto"/>
        <w:ind w:firstLineChars="200" w:firstLine="440"/>
        <w:rPr>
          <w:rFonts w:hint="eastAsia"/>
          <w:sz w:val="22"/>
          <w:szCs w:val="22"/>
        </w:rPr>
      </w:pPr>
      <w:r w:rsidRPr="009805DD">
        <w:rPr>
          <w:rFonts w:hint="eastAsia"/>
          <w:sz w:val="22"/>
          <w:szCs w:val="22"/>
        </w:rPr>
        <w:t>本标准由华南农业大学牵头统筹、联合行业相关单位共同编制完成，属于规范性团体标准，具备科学性、指导性与行业适用性，可为饲料桑青贮加工及育肥牛规范化饲喂提供统一的技术依据和操作准则。为切实解决饲料桑在育肥牛养殖中应用不规范、技术落地混乱、资源利用率偏低等行业问题，充分发挥木本饲料资源的饲用价值，推动饲料桑替代传统饲料、实现养殖节本增效，各相关养殖单位、技术推广单位及生产主体需严格遵照本标准各项技术规范与操作要求，有序开展饲料桑青贮加工、日粮配比、饲喂管理等相关生产工作，保障技术应用的规范性与准确性。</w:t>
      </w:r>
    </w:p>
    <w:p w14:paraId="360EB577" w14:textId="77777777" w:rsidR="009805DD" w:rsidRPr="009805DD" w:rsidRDefault="009805DD" w:rsidP="009805DD">
      <w:pPr>
        <w:spacing w:line="360" w:lineRule="auto"/>
        <w:ind w:firstLineChars="200" w:firstLine="440"/>
        <w:rPr>
          <w:rFonts w:hint="eastAsia"/>
          <w:sz w:val="22"/>
          <w:szCs w:val="22"/>
        </w:rPr>
      </w:pPr>
      <w:r w:rsidRPr="009805DD">
        <w:rPr>
          <w:rFonts w:hint="eastAsia"/>
          <w:sz w:val="22"/>
          <w:szCs w:val="22"/>
        </w:rPr>
        <w:t>为保障本标准落地见效、广泛普及，进一步扩大行业推广覆盖面，需持续加强标准的宣传普及、专业解读与一线技术指导工作。通过技术培训、现场示范、行业交流、线上科普等多种形式，面向规模化养殖企业、中小养殖户、基层农技推广人员开展标准宣讲，帮助各类实施主体熟练掌握饲料桑青贮制作、储存管护、育肥牛精准饲喂、质量管控等核心技术规范，深刻理解标准编制要点与应用价值，切实提升行业整体标准化生产水平，推动本标准在肉牛养殖行业全面落地、广泛应用。</w:t>
      </w:r>
    </w:p>
    <w:p w14:paraId="4592E6E7" w14:textId="2EDCBC57" w:rsidR="009805DD" w:rsidRPr="009805DD" w:rsidRDefault="009805DD" w:rsidP="009805DD">
      <w:pPr>
        <w:spacing w:line="360" w:lineRule="auto"/>
        <w:ind w:firstLineChars="200" w:firstLine="440"/>
        <w:rPr>
          <w:rFonts w:hint="eastAsia"/>
          <w:sz w:val="22"/>
          <w:szCs w:val="22"/>
        </w:rPr>
      </w:pPr>
      <w:r w:rsidRPr="009805DD">
        <w:rPr>
          <w:rFonts w:hint="eastAsia"/>
          <w:sz w:val="22"/>
          <w:szCs w:val="22"/>
        </w:rPr>
        <w:t>同时，本标准将秉持动态完善、持续优化的更新原则。各应用单位在标准实际使用、生产落地过程中，如发现标准内容存在适配性不足、技术参数优化空间及其他问题与不足，需及时收集整理相关问题与实践建议并积极反馈。编制组将结合行业技术迭代、生产实践变化与一线反馈意见，持续对本标准内容进行修订、补充与完善，不断提升标准的实用性、先进性与行业适配性，持续助力育肥牛产业标准化、绿色化、高效化发展。</w:t>
      </w:r>
    </w:p>
    <w:p w14:paraId="716810CD" w14:textId="77777777" w:rsidR="004817B8" w:rsidRPr="006520B7" w:rsidRDefault="00291A59" w:rsidP="009B1404">
      <w:pPr>
        <w:pStyle w:val="1"/>
        <w:spacing w:before="0" w:after="0"/>
        <w:rPr>
          <w:sz w:val="24"/>
          <w:szCs w:val="40"/>
        </w:rPr>
      </w:pPr>
      <w:bookmarkStart w:id="15" w:name="_Toc229320810"/>
      <w:r w:rsidRPr="006520B7">
        <w:rPr>
          <w:sz w:val="24"/>
          <w:szCs w:val="40"/>
        </w:rPr>
        <w:t>九、废止现行有关标准的建议</w:t>
      </w:r>
      <w:bookmarkEnd w:id="15"/>
    </w:p>
    <w:p w14:paraId="40597651" w14:textId="77777777" w:rsidR="004817B8" w:rsidRPr="006520B7" w:rsidRDefault="00291A59"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291A59" w:rsidP="009B1404">
      <w:pPr>
        <w:pStyle w:val="1"/>
        <w:spacing w:before="0" w:after="0"/>
        <w:rPr>
          <w:sz w:val="24"/>
          <w:szCs w:val="40"/>
        </w:rPr>
      </w:pPr>
      <w:bookmarkStart w:id="16" w:name="_Toc229320811"/>
      <w:r w:rsidRPr="006520B7">
        <w:rPr>
          <w:sz w:val="24"/>
          <w:szCs w:val="40"/>
        </w:rPr>
        <w:t>十、其他应予说明的事项</w:t>
      </w:r>
      <w:bookmarkEnd w:id="16"/>
    </w:p>
    <w:p w14:paraId="118F0DAF" w14:textId="65322567" w:rsidR="004817B8" w:rsidRDefault="00291A59" w:rsidP="009805DD">
      <w:pPr>
        <w:spacing w:beforeLines="50" w:before="156" w:line="360" w:lineRule="auto"/>
        <w:ind w:firstLine="482"/>
        <w:rPr>
          <w:color w:val="000000"/>
          <w:sz w:val="24"/>
        </w:rPr>
      </w:pPr>
      <w:r w:rsidRPr="006520B7">
        <w:rPr>
          <w:color w:val="000000"/>
          <w:sz w:val="22"/>
          <w:szCs w:val="20"/>
        </w:rPr>
        <w:t>无。</w:t>
      </w:r>
      <w:bookmarkEnd w:id="1"/>
    </w:p>
    <w:sectPr w:rsidR="004817B8">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6E6A2" w14:textId="77777777" w:rsidR="00291A59" w:rsidRDefault="00291A59">
      <w:r>
        <w:separator/>
      </w:r>
    </w:p>
  </w:endnote>
  <w:endnote w:type="continuationSeparator" w:id="0">
    <w:p w14:paraId="1331DBBE" w14:textId="77777777" w:rsidR="00291A59" w:rsidRDefault="0029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9A38A" w14:textId="77777777" w:rsidR="004817B8" w:rsidRDefault="00291A59">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1A48C" w14:textId="77777777" w:rsidR="004817B8" w:rsidRDefault="00291A59">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DF81" w14:textId="77777777" w:rsidR="00291A59" w:rsidRDefault="00291A59">
      <w:r>
        <w:separator/>
      </w:r>
    </w:p>
  </w:footnote>
  <w:footnote w:type="continuationSeparator" w:id="0">
    <w:p w14:paraId="5B5AD567" w14:textId="77777777" w:rsidR="00291A59" w:rsidRDefault="00291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91A59"/>
    <w:rsid w:val="002A2BE5"/>
    <w:rsid w:val="002A38D8"/>
    <w:rsid w:val="002B5E17"/>
    <w:rsid w:val="002C3275"/>
    <w:rsid w:val="002C5FEC"/>
    <w:rsid w:val="002D17E1"/>
    <w:rsid w:val="002D653D"/>
    <w:rsid w:val="002E35C6"/>
    <w:rsid w:val="002F1A92"/>
    <w:rsid w:val="002F773B"/>
    <w:rsid w:val="002F78D3"/>
    <w:rsid w:val="00301EF9"/>
    <w:rsid w:val="00314447"/>
    <w:rsid w:val="00315468"/>
    <w:rsid w:val="00324544"/>
    <w:rsid w:val="00330701"/>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1443"/>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016E"/>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811DE"/>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55B"/>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5DD"/>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2B46"/>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46C4"/>
    <w:rsid w:val="00CD6231"/>
    <w:rsid w:val="00CE53AB"/>
    <w:rsid w:val="00D00CC8"/>
    <w:rsid w:val="00D22D66"/>
    <w:rsid w:val="00D250E5"/>
    <w:rsid w:val="00D253BE"/>
    <w:rsid w:val="00D26876"/>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5767"/>
    <w:rsid w:val="00E1686F"/>
    <w:rsid w:val="00E21921"/>
    <w:rsid w:val="00E33DCF"/>
    <w:rsid w:val="00E373AD"/>
    <w:rsid w:val="00E4036C"/>
    <w:rsid w:val="00E418B3"/>
    <w:rsid w:val="00E52D55"/>
    <w:rsid w:val="00E56FB6"/>
    <w:rsid w:val="00E57815"/>
    <w:rsid w:val="00E62DD5"/>
    <w:rsid w:val="00E63FAE"/>
    <w:rsid w:val="00E71149"/>
    <w:rsid w:val="00E76430"/>
    <w:rsid w:val="00E8551F"/>
    <w:rsid w:val="00E87D50"/>
    <w:rsid w:val="00E923DA"/>
    <w:rsid w:val="00E93DBA"/>
    <w:rsid w:val="00E9519E"/>
    <w:rsid w:val="00E96678"/>
    <w:rsid w:val="00E967AE"/>
    <w:rsid w:val="00EA3B73"/>
    <w:rsid w:val="00EB7CF2"/>
    <w:rsid w:val="00EC0BFF"/>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40026-D5AA-4DD9-B8A0-F736590B5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7</Pages>
  <Words>864</Words>
  <Characters>4926</Characters>
  <Application>Microsoft Office Word</Application>
  <DocSecurity>0</DocSecurity>
  <Lines>41</Lines>
  <Paragraphs>11</Paragraphs>
  <ScaleCrop>false</ScaleCrop>
  <Company>Lenovo</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孙加节</cp:lastModifiedBy>
  <cp:revision>26</cp:revision>
  <cp:lastPrinted>2021-10-27T07:09:00Z</cp:lastPrinted>
  <dcterms:created xsi:type="dcterms:W3CDTF">2025-12-17T06:59:00Z</dcterms:created>
  <dcterms:modified xsi:type="dcterms:W3CDTF">2026-05-10T07:53:00Z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